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 xml:space="preserve">FILE REVIEW </w:t>
      </w:r>
    </w:p>
    <w:p>
      <w:pPr>
        <w:pStyle w:val="Normal"/>
        <w:jc w:val="center"/>
        <w:rPr>
          <w:b/>
          <w:bCs/>
          <w:sz w:val="24"/>
          <w:szCs w:val="24"/>
        </w:rPr>
      </w:pPr>
      <w:r>
        <w:rPr>
          <w:b/>
          <w:bCs/>
          <w:sz w:val="24"/>
          <w:szCs w:val="24"/>
        </w:rPr>
        <w:t>SOUTHERN TRAILS PIPELINE (formerly Four Corners Pipeline)</w:t>
      </w:r>
    </w:p>
    <w:p>
      <w:pPr>
        <w:pStyle w:val="Normal"/>
        <w:jc w:val="center"/>
        <w:rPr>
          <w:sz w:val="24"/>
          <w:szCs w:val="24"/>
        </w:rPr>
      </w:pPr>
      <w:r>
        <w:rPr>
          <w:b/>
          <w:bCs/>
          <w:sz w:val="24"/>
          <w:szCs w:val="24"/>
        </w:rPr>
        <w:t>QUESTAR SOUTHERN TRAILS PIPELINE (formerly Arco Gas PipelineCo.) Company</w:t>
      </w:r>
    </w:p>
    <w:p>
      <w:pPr>
        <w:pStyle w:val="Normal"/>
        <w:jc w:val="both"/>
        <w:rPr>
          <w:sz w:val="24"/>
          <w:szCs w:val="24"/>
        </w:rPr>
      </w:pPr>
      <w:r>
        <w:rPr>
          <w:sz w:val="24"/>
          <w:szCs w:val="24"/>
        </w:rPr>
      </w:r>
    </w:p>
    <w:p>
      <w:pPr>
        <w:pStyle w:val="Normal"/>
        <w:jc w:val="center"/>
        <w:rPr>
          <w:sz w:val="24"/>
          <w:szCs w:val="24"/>
        </w:rPr>
      </w:pPr>
      <w:r>
        <w:rPr>
          <w:sz w:val="24"/>
          <w:szCs w:val="24"/>
        </w:rPr>
        <w:t>November 2, 2001</w:t>
      </w:r>
    </w:p>
    <w:p>
      <w:pPr>
        <w:pStyle w:val="Normal"/>
        <w:jc w:val="both"/>
        <w:rPr>
          <w:sz w:val="24"/>
          <w:szCs w:val="24"/>
        </w:rPr>
      </w:pPr>
      <w:r>
        <w:rPr>
          <w:sz w:val="24"/>
          <w:szCs w:val="24"/>
        </w:rPr>
      </w:r>
    </w:p>
    <w:p>
      <w:pPr>
        <w:pStyle w:val="Normal"/>
        <w:jc w:val="both"/>
        <w:rPr>
          <w:b/>
          <w:bCs/>
          <w:sz w:val="24"/>
          <w:szCs w:val="24"/>
          <w:u w:val="single"/>
        </w:rPr>
      </w:pPr>
      <w:r>
        <w:rPr>
          <w:b/>
          <w:bCs/>
          <w:sz w:val="24"/>
          <w:szCs w:val="24"/>
          <w:u w:val="single"/>
        </w:rPr>
        <w:t>FILES REVIEWED:</w:t>
      </w:r>
    </w:p>
    <w:p>
      <w:pPr>
        <w:pStyle w:val="Normal"/>
        <w:jc w:val="both"/>
        <w:rPr>
          <w:b/>
          <w:bCs/>
          <w:sz w:val="24"/>
          <w:szCs w:val="24"/>
          <w:u w:val="single"/>
        </w:rPr>
      </w:pPr>
      <w:r>
        <w:rPr>
          <w:b/>
          <w:bCs/>
          <w:sz w:val="24"/>
          <w:szCs w:val="24"/>
          <w:u w:val="single"/>
        </w:rPr>
      </w:r>
    </w:p>
    <w:p>
      <w:pPr>
        <w:pStyle w:val="Normal"/>
        <w:jc w:val="both"/>
        <w:rPr/>
      </w:pPr>
      <w:r>
        <w:rPr>
          <w:color w:val="0000FF"/>
          <w:sz w:val="24"/>
          <w:szCs w:val="24"/>
        </w:rPr>
        <w:t xml:space="preserve">A due diligence was conducted in the offices of Questar on Tuesday, October 30, 2001. There was a single folder marked </w:t>
      </w:r>
      <w:r>
        <w:rPr>
          <w:b/>
          <w:bCs/>
          <w:color w:val="0000FF"/>
          <w:sz w:val="24"/>
          <w:szCs w:val="24"/>
        </w:rPr>
        <w:t>Right of Way</w:t>
      </w:r>
      <w:r>
        <w:rPr>
          <w:color w:val="0000FF"/>
          <w:sz w:val="24"/>
          <w:szCs w:val="24"/>
        </w:rPr>
        <w:t xml:space="preserve"> that was made available for our review. This folder contained </w:t>
      </w:r>
      <w:r>
        <w:rPr>
          <w:b/>
          <w:bCs/>
          <w:color w:val="0000FF"/>
          <w:sz w:val="24"/>
          <w:szCs w:val="24"/>
          <w:u w:val="single"/>
        </w:rPr>
        <w:t>only</w:t>
      </w:r>
      <w:r>
        <w:rPr>
          <w:color w:val="0000FF"/>
          <w:sz w:val="24"/>
          <w:szCs w:val="24"/>
        </w:rPr>
        <w:t xml:space="preserve"> three (3) new right-of-way instruments: (a) Union Pacific Railroad License [pertains to Morongo Indian Reservation re-route]; (b) </w:t>
      </w:r>
      <w:r>
        <w:rPr>
          <w:b/>
          <w:bCs/>
          <w:color w:val="0000FF"/>
          <w:sz w:val="24"/>
          <w:szCs w:val="24"/>
        </w:rPr>
        <w:t>new</w:t>
      </w:r>
      <w:r>
        <w:rPr>
          <w:color w:val="0000FF"/>
          <w:sz w:val="24"/>
          <w:szCs w:val="24"/>
        </w:rPr>
        <w:t xml:space="preserve"> Bureau of Land Management (“BLM”) Grant; and, (c) California State Lands Commission Lease. All of the right-of-way files pertinent to this pipeline are located in off-site storage in Huntington Beach, California. We were permitted to speak with Colleen Bell, Questar’s Legal representative on right-of-way issues, who was unable to address most of our concerns. I was permitted to contact by telephone, Richard Marsden, Paragon Partners (“Paragon”), Questar’s 3</w:t>
      </w:r>
      <w:r>
        <w:rPr>
          <w:color w:val="0000FF"/>
          <w:sz w:val="24"/>
          <w:szCs w:val="24"/>
          <w:vertAlign w:val="superscript"/>
        </w:rPr>
        <w:t>rd</w:t>
      </w:r>
      <w:r>
        <w:rPr>
          <w:color w:val="0000FF"/>
          <w:sz w:val="24"/>
          <w:szCs w:val="24"/>
        </w:rPr>
        <w:t xml:space="preserve"> party representative in California for right-of-way matters and custodian of the right-of-way files. The majority of comments contained in the following </w:t>
      </w:r>
      <w:r>
        <w:rPr>
          <w:b/>
          <w:bCs/>
          <w:color w:val="0000FF"/>
          <w:sz w:val="24"/>
          <w:szCs w:val="24"/>
          <w:u w:val="single"/>
        </w:rPr>
        <w:t>Review Summary</w:t>
      </w:r>
      <w:r>
        <w:rPr>
          <w:color w:val="0000FF"/>
          <w:sz w:val="24"/>
          <w:szCs w:val="24"/>
        </w:rPr>
        <w:t xml:space="preserve"> is from our 1997 due diligence and are probably still true today.</w:t>
      </w:r>
    </w:p>
    <w:p>
      <w:pPr>
        <w:pStyle w:val="Normal"/>
        <w:jc w:val="both"/>
        <w:rPr>
          <w:color w:val="0000FF"/>
          <w:sz w:val="24"/>
          <w:szCs w:val="24"/>
        </w:rPr>
      </w:pPr>
      <w:r>
        <w:rPr>
          <w:color w:val="0000FF"/>
          <w:sz w:val="24"/>
          <w:szCs w:val="24"/>
        </w:rPr>
      </w:r>
    </w:p>
    <w:p>
      <w:pPr>
        <w:pStyle w:val="Normal"/>
        <w:jc w:val="both"/>
        <w:rPr>
          <w:b/>
          <w:bCs/>
          <w:sz w:val="24"/>
          <w:szCs w:val="24"/>
          <w:u w:val="single"/>
        </w:rPr>
      </w:pPr>
      <w:r>
        <w:rPr>
          <w:b/>
          <w:bCs/>
          <w:sz w:val="24"/>
          <w:szCs w:val="24"/>
          <w:u w:val="single"/>
        </w:rPr>
        <w:t>REVIEW SUMMARY:</w:t>
      </w:r>
    </w:p>
    <w:p>
      <w:pPr>
        <w:pStyle w:val="Normal"/>
        <w:jc w:val="both"/>
        <w:rPr>
          <w:b/>
          <w:bCs/>
          <w:sz w:val="24"/>
          <w:szCs w:val="24"/>
          <w:u w:val="single"/>
        </w:rPr>
      </w:pPr>
      <w:r>
        <w:rPr>
          <w:b/>
          <w:bCs/>
          <w:sz w:val="24"/>
          <w:szCs w:val="24"/>
          <w:u w:val="single"/>
        </w:rPr>
      </w:r>
    </w:p>
    <w:p>
      <w:pPr>
        <w:pStyle w:val="BodyText2"/>
        <w:rPr/>
      </w:pPr>
      <w:r>
        <w:rPr/>
        <w:t>1.</w:t>
        <w:tab/>
        <w:t xml:space="preserve">A number of the easements, permits, licenses and franchise agreements are product specific.  </w:t>
      </w:r>
    </w:p>
    <w:p>
      <w:pPr>
        <w:pStyle w:val="Normal"/>
        <w:jc w:val="both"/>
        <w:rPr>
          <w:sz w:val="24"/>
          <w:szCs w:val="24"/>
        </w:rPr>
      </w:pPr>
      <w:r>
        <w:rPr>
          <w:sz w:val="24"/>
          <w:szCs w:val="24"/>
        </w:rPr>
      </w:r>
    </w:p>
    <w:p>
      <w:pPr>
        <w:pStyle w:val="Normal"/>
        <w:ind w:hanging="720" w:start="720" w:end="0"/>
        <w:jc w:val="both"/>
        <w:rPr/>
      </w:pPr>
      <w:r>
        <w:rPr>
          <w:sz w:val="24"/>
          <w:szCs w:val="24"/>
        </w:rPr>
        <w:t>2.</w:t>
        <w:tab/>
        <w:t xml:space="preserve">A number of agreements require consent to assign.  These entities would need to be contacted prior to any conveyance of the pipeline to Transwestern. </w:t>
      </w:r>
      <w:r>
        <w:rPr>
          <w:color w:val="0000FF"/>
          <w:sz w:val="24"/>
          <w:szCs w:val="24"/>
        </w:rPr>
        <w:t xml:space="preserve">Paragon representative stated that all consents into Questar were obtained, </w:t>
      </w:r>
      <w:r>
        <w:rPr>
          <w:b/>
          <w:bCs/>
          <w:color w:val="0000FF"/>
          <w:sz w:val="24"/>
          <w:szCs w:val="24"/>
          <w:u w:val="single"/>
        </w:rPr>
        <w:t>EXCEPT</w:t>
      </w:r>
      <w:r>
        <w:rPr>
          <w:color w:val="0000FF"/>
          <w:sz w:val="24"/>
          <w:szCs w:val="24"/>
        </w:rPr>
        <w:t xml:space="preserve"> the Nohl Ranch easement, which covers many miles in the Anaheim Hills.</w:t>
      </w:r>
    </w:p>
    <w:p>
      <w:pPr>
        <w:pStyle w:val="Normal"/>
        <w:jc w:val="both"/>
        <w:rPr>
          <w:color w:val="0000FF"/>
          <w:sz w:val="24"/>
          <w:szCs w:val="24"/>
        </w:rPr>
      </w:pPr>
      <w:r>
        <w:rPr>
          <w:color w:val="0000FF"/>
          <w:sz w:val="24"/>
          <w:szCs w:val="24"/>
        </w:rPr>
      </w:r>
    </w:p>
    <w:p>
      <w:pPr>
        <w:pStyle w:val="Normal"/>
        <w:ind w:hanging="720" w:start="720" w:end="0"/>
        <w:jc w:val="both"/>
        <w:rPr>
          <w:sz w:val="24"/>
          <w:szCs w:val="24"/>
        </w:rPr>
      </w:pPr>
      <w:r>
        <w:rPr>
          <w:sz w:val="24"/>
          <w:szCs w:val="24"/>
        </w:rPr>
        <w:t>3.</w:t>
        <w:tab/>
        <w:t>Roughly 75 miles of the Four Corners Pipeline was constructed under an easement from the Bureau of Land Management (“BLM”).  Several sections of land in San Bernardino County were excluded from the grant because they were currently under contract for purchase.  Easements were taken from these contract purchasers, however, land patents were issued to people other than the contract purchasers in some instances.  Also numerous tracts of land were sold after the easement was granted by the BLM.  The files indicate that reservations were made for the Four Corners Pipeline in these subsequent patents; however, additional lands could have been sold by the BLM where reservations were not made for the Four Corners Pipeline.</w:t>
      </w:r>
    </w:p>
    <w:p>
      <w:pPr>
        <w:pStyle w:val="Normal"/>
        <w:jc w:val="both"/>
        <w:rPr>
          <w:sz w:val="24"/>
          <w:szCs w:val="24"/>
        </w:rPr>
      </w:pPr>
      <w:r>
        <w:rPr>
          <w:sz w:val="24"/>
          <w:szCs w:val="24"/>
        </w:rPr>
      </w:r>
    </w:p>
    <w:p>
      <w:pPr>
        <w:pStyle w:val="Normal"/>
        <w:ind w:hanging="720" w:start="720" w:end="0"/>
        <w:jc w:val="both"/>
        <w:rPr>
          <w:sz w:val="24"/>
          <w:szCs w:val="24"/>
        </w:rPr>
      </w:pPr>
      <w:r>
        <w:rPr>
          <w:sz w:val="24"/>
          <w:szCs w:val="24"/>
        </w:rPr>
        <w:tab/>
        <w:t>The former BLM Grant was product specific.  The patents that were granted subsequent to the former Grant appear to cover both oil and gas in the reservations.  Memos in the Arco files suggested that Arco believed that the patents allow a change of product from oil to gas under the reservations in the patents.</w:t>
      </w:r>
    </w:p>
    <w:p>
      <w:pPr>
        <w:pStyle w:val="Normal"/>
        <w:jc w:val="both"/>
        <w:rPr>
          <w:sz w:val="24"/>
          <w:szCs w:val="24"/>
        </w:rPr>
      </w:pPr>
      <w:r>
        <w:rPr>
          <w:sz w:val="24"/>
          <w:szCs w:val="24"/>
        </w:rPr>
      </w:r>
    </w:p>
    <w:p>
      <w:pPr>
        <w:pStyle w:val="BodyText2"/>
        <w:rPr>
          <w:color w:val="0000FF"/>
        </w:rPr>
      </w:pPr>
      <w:r>
        <w:rPr/>
        <w:t>4.</w:t>
        <w:tab/>
        <w:t xml:space="preserve">It appears from inter-company memos in the files that there are numerous tracts where the pipeline lies outside of the defined right-of-way. </w:t>
      </w:r>
      <w:r>
        <w:rPr>
          <w:color w:val="0000FF"/>
        </w:rPr>
        <w:t xml:space="preserve">In my telephone conversation with Paragon’s representative, he stated that Questar’s Legal Counsels position was these rights were by prescription, though no California cases had addressed this matter. Lou Soldano, Legal for Transwestern, is </w:t>
      </w:r>
      <w:r>
        <w:rPr>
          <w:b/>
          <w:bCs/>
          <w:color w:val="0000FF"/>
          <w:u w:val="single"/>
        </w:rPr>
        <w:t>not</w:t>
      </w:r>
      <w:r>
        <w:rPr>
          <w:color w:val="0000FF"/>
        </w:rPr>
        <w:t xml:space="preserve"> </w:t>
      </w:r>
      <w:r>
        <w:rPr>
          <w:b/>
          <w:bCs/>
          <w:color w:val="0000FF"/>
          <w:u w:val="single"/>
        </w:rPr>
        <w:t>comfortable</w:t>
      </w:r>
      <w:r>
        <w:rPr>
          <w:color w:val="0000FF"/>
        </w:rPr>
        <w:t xml:space="preserve"> with this position.</w:t>
      </w:r>
      <w:r>
        <w:rPr/>
        <w:t xml:space="preserve">   </w:t>
      </w:r>
    </w:p>
    <w:p>
      <w:pPr>
        <w:pStyle w:val="Normal"/>
        <w:jc w:val="both"/>
        <w:rPr>
          <w:color w:val="0000FF"/>
          <w:sz w:val="24"/>
          <w:szCs w:val="24"/>
        </w:rPr>
      </w:pPr>
      <w:r>
        <w:rPr>
          <w:color w:val="0000FF"/>
          <w:sz w:val="24"/>
          <w:szCs w:val="24"/>
        </w:rPr>
      </w:r>
    </w:p>
    <w:p>
      <w:pPr>
        <w:pStyle w:val="Normal"/>
        <w:ind w:hanging="720" w:start="720" w:end="0"/>
        <w:jc w:val="both"/>
        <w:rPr>
          <w:sz w:val="24"/>
          <w:szCs w:val="24"/>
        </w:rPr>
      </w:pPr>
      <w:r>
        <w:rPr>
          <w:sz w:val="24"/>
          <w:szCs w:val="24"/>
        </w:rPr>
        <w:t>5.</w:t>
        <w:tab/>
        <w:t>There are numerous encroachment reports in the files dated in the 1960’s up through the early 1980’s.  It was unclear from the files whether the encroachments were resolved.  It is also unclear why there are no encroachment reports after the early 1980’s.</w:t>
      </w:r>
    </w:p>
    <w:p>
      <w:pPr>
        <w:pStyle w:val="Normal"/>
        <w:jc w:val="both"/>
        <w:rPr>
          <w:sz w:val="24"/>
          <w:szCs w:val="24"/>
        </w:rPr>
      </w:pPr>
      <w:r>
        <w:rPr>
          <w:sz w:val="24"/>
          <w:szCs w:val="24"/>
        </w:rPr>
      </w:r>
    </w:p>
    <w:p>
      <w:pPr>
        <w:pStyle w:val="Normal"/>
        <w:ind w:hanging="720" w:start="720" w:end="0"/>
        <w:jc w:val="both"/>
        <w:rPr/>
      </w:pPr>
      <w:r>
        <w:rPr>
          <w:sz w:val="24"/>
          <w:szCs w:val="24"/>
        </w:rPr>
        <w:t>6.</w:t>
        <w:tab/>
        <w:t xml:space="preserve">There are numerous easements, permits, licenses and franchise agreements that require rentals.  These rental payments totaled more than $1,000,000.00 annually in 1997.  There was a disputed rental with the Atchison, Topeka and Santa Fe Railroad totaling $288,000.00. </w:t>
      </w:r>
      <w:r>
        <w:rPr>
          <w:color w:val="0000FF"/>
          <w:sz w:val="24"/>
          <w:szCs w:val="24"/>
        </w:rPr>
        <w:t xml:space="preserve">No rental report was available at this time, but I have requested that this be provided to me. </w:t>
      </w:r>
      <w:r>
        <w:rPr>
          <w:sz w:val="24"/>
          <w:szCs w:val="24"/>
        </w:rPr>
        <w:t xml:space="preserve"> </w:t>
      </w:r>
    </w:p>
    <w:p>
      <w:pPr>
        <w:pStyle w:val="Normal"/>
        <w:jc w:val="both"/>
        <w:rPr>
          <w:sz w:val="24"/>
          <w:szCs w:val="24"/>
        </w:rPr>
      </w:pPr>
      <w:r>
        <w:rPr>
          <w:sz w:val="24"/>
          <w:szCs w:val="24"/>
        </w:rPr>
      </w:r>
    </w:p>
    <w:p>
      <w:pPr>
        <w:pStyle w:val="Normal"/>
        <w:ind w:hanging="720" w:start="720" w:end="0"/>
        <w:jc w:val="both"/>
        <w:rPr/>
      </w:pPr>
      <w:r>
        <w:rPr>
          <w:sz w:val="24"/>
          <w:szCs w:val="24"/>
        </w:rPr>
        <w:t>7.</w:t>
        <w:tab/>
        <w:t xml:space="preserve">There are several railroad licenses that had been sold to municipal entities These municipal entities are requiring Arco to re-negotiate both the terms and rental amounts. </w:t>
      </w:r>
      <w:r>
        <w:rPr>
          <w:color w:val="0000FF"/>
          <w:sz w:val="24"/>
          <w:szCs w:val="24"/>
        </w:rPr>
        <w:t>All but two (2) have been renewed per Paragon representative.</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8.</w:t>
        <w:tab/>
        <w:t xml:space="preserve">There were two relocations planned for the Four Corners Pipeline.  </w:t>
      </w:r>
    </w:p>
    <w:p>
      <w:pPr>
        <w:pStyle w:val="Normal"/>
        <w:jc w:val="both"/>
        <w:rPr>
          <w:sz w:val="24"/>
          <w:szCs w:val="24"/>
        </w:rPr>
      </w:pPr>
      <w:r>
        <w:rPr>
          <w:sz w:val="24"/>
          <w:szCs w:val="24"/>
        </w:rPr>
      </w:r>
    </w:p>
    <w:p>
      <w:pPr>
        <w:pStyle w:val="Normal"/>
        <w:ind w:hanging="720" w:start="1440" w:end="0"/>
        <w:jc w:val="both"/>
        <w:rPr/>
      </w:pPr>
      <w:r>
        <w:rPr>
          <w:sz w:val="24"/>
          <w:szCs w:val="24"/>
        </w:rPr>
        <w:t>a.</w:t>
        <w:tab/>
        <w:t xml:space="preserve">Anaheim Hills - Arco is considering relocating approximately 12 miles of pipeline along streets and roads in the city of Anaheim.  At first this proposal was met with little or no opposition from the city.  It now appears that the city has reconsidered its original position and the relocation might become more difficult to obtain and more expensive than Arco originally believed. </w:t>
      </w:r>
      <w:r>
        <w:rPr>
          <w:color w:val="0000FF"/>
          <w:sz w:val="24"/>
          <w:szCs w:val="24"/>
        </w:rPr>
        <w:t>Paragon’s representative stated that this was no longer under consideration, even though there are numerous encroachments on the right-of-way.</w:t>
      </w:r>
    </w:p>
    <w:p>
      <w:pPr>
        <w:pStyle w:val="Normal"/>
        <w:ind w:start="720" w:end="0"/>
        <w:jc w:val="both"/>
        <w:rPr>
          <w:color w:val="0000FF"/>
          <w:sz w:val="24"/>
          <w:szCs w:val="24"/>
        </w:rPr>
      </w:pPr>
      <w:r>
        <w:rPr>
          <w:color w:val="0000FF"/>
          <w:sz w:val="24"/>
          <w:szCs w:val="24"/>
        </w:rPr>
      </w:r>
    </w:p>
    <w:p>
      <w:pPr>
        <w:pStyle w:val="Normal"/>
        <w:ind w:hanging="720" w:start="1440" w:end="0"/>
        <w:jc w:val="both"/>
        <w:rPr/>
      </w:pPr>
      <w:r>
        <w:rPr>
          <w:sz w:val="24"/>
          <w:szCs w:val="24"/>
        </w:rPr>
        <w:t>b.</w:t>
        <w:tab/>
        <w:t xml:space="preserve">Morongo Indian Tribe - The easement across the Morongo Indians expired on July 8, 1997.  The tribe is asking for $1,000,000.00 for a one-year renewal.  Arco has offered $300,000.00 for a six-month extension to re-negotiate the easement.  Due to this situation Arco is considering relocating the 8.17 miles of pipe currently on the Indian Reservation.  This re-route would follow an existing Union Pacific Railroad track. </w:t>
      </w:r>
      <w:r>
        <w:rPr>
          <w:color w:val="0000FF"/>
          <w:sz w:val="24"/>
          <w:szCs w:val="24"/>
        </w:rPr>
        <w:t xml:space="preserve">A License, dated 4/19/99, was obtained from Union Pacific Railroad by Questar, which will bypass the Morongos’. This License, at Licensor’s option, will expire 4/30/02, if the rights contained therein are not exercised. Apparently, there are no ongoing negotiations to extend this License. Additionally, there are 2,751 feet of proposed pipeline for this re-route located on private property and per Paragon all parties, except one (1) </w:t>
      </w:r>
      <w:r>
        <w:rPr>
          <w:b/>
          <w:bCs/>
          <w:color w:val="0000FF"/>
          <w:sz w:val="24"/>
          <w:szCs w:val="24"/>
          <w:u w:val="single"/>
        </w:rPr>
        <w:t>condemnation</w:t>
      </w:r>
      <w:r>
        <w:rPr>
          <w:color w:val="0000FF"/>
          <w:sz w:val="24"/>
          <w:szCs w:val="24"/>
        </w:rPr>
        <w:t>, have granted an Easement.</w:t>
      </w:r>
    </w:p>
    <w:p>
      <w:pPr>
        <w:pStyle w:val="Normal"/>
        <w:jc w:val="both"/>
        <w:rPr>
          <w:color w:val="0000FF"/>
          <w:sz w:val="24"/>
          <w:szCs w:val="24"/>
        </w:rPr>
      </w:pPr>
      <w:r>
        <w:rPr>
          <w:color w:val="0000FF"/>
          <w:sz w:val="24"/>
          <w:szCs w:val="24"/>
        </w:rPr>
      </w:r>
    </w:p>
    <w:p>
      <w:pPr>
        <w:pStyle w:val="Normal"/>
        <w:ind w:hanging="720" w:start="720" w:end="0"/>
        <w:jc w:val="both"/>
        <w:rPr>
          <w:sz w:val="24"/>
          <w:szCs w:val="24"/>
        </w:rPr>
      </w:pPr>
      <w:r>
        <w:rPr>
          <w:sz w:val="24"/>
          <w:szCs w:val="24"/>
        </w:rPr>
        <w:t>9.</w:t>
        <w:tab/>
        <w:t>Arco had franchise agreements with several of the Counties and Municipalities that are crossed by the Four Corners Pipeline.  These Franchises are as follows:</w:t>
      </w:r>
    </w:p>
    <w:p>
      <w:pPr>
        <w:pStyle w:val="Normal"/>
        <w:jc w:val="both"/>
        <w:rPr>
          <w:sz w:val="24"/>
          <w:szCs w:val="24"/>
        </w:rPr>
      </w:pPr>
      <w:r>
        <w:rPr>
          <w:sz w:val="24"/>
          <w:szCs w:val="24"/>
        </w:rPr>
      </w:r>
    </w:p>
    <w:p>
      <w:pPr>
        <w:pStyle w:val="Normal"/>
        <w:ind w:hanging="720" w:start="1440" w:end="0"/>
        <w:jc w:val="both"/>
        <w:rPr/>
      </w:pPr>
      <w:r>
        <w:rPr>
          <w:sz w:val="24"/>
          <w:szCs w:val="24"/>
        </w:rPr>
        <w:t>1.</w:t>
        <w:tab/>
      </w:r>
      <w:r>
        <w:rPr>
          <w:b/>
          <w:bCs/>
          <w:sz w:val="24"/>
          <w:szCs w:val="24"/>
          <w:u w:val="single"/>
        </w:rPr>
        <w:t>City of Anaheim</w:t>
      </w:r>
      <w:r>
        <w:rPr>
          <w:sz w:val="24"/>
          <w:szCs w:val="24"/>
        </w:rPr>
        <w:t xml:space="preserve"> - (Ordinance No. 1178) This agreement was originally granted for a term of 40 years from October 1, 1957.  Arco applied for a renewal of this agreement on January 22, 1997, requesting an additional 20-year agreement.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7.0212 miles of pipe located in the City of Anaheim.  The 1997 rental was $5,449.01.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t>2.</w:t>
        <w:tab/>
      </w:r>
      <w:r>
        <w:rPr>
          <w:b/>
          <w:bCs/>
          <w:sz w:val="24"/>
          <w:szCs w:val="24"/>
          <w:u w:val="single"/>
        </w:rPr>
        <w:t>City of Banning</w:t>
      </w:r>
      <w:r>
        <w:rPr>
          <w:sz w:val="24"/>
          <w:szCs w:val="24"/>
        </w:rPr>
        <w:t xml:space="preserve"> - (Ordinance No. 437) This agreement was originally granted for a term of 40 years from October 24,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2.6572 miles of pipe located in the City of Banning.  The 1997 rental was $2,062.20.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3.</w:t>
        <w:tab/>
      </w:r>
      <w:r>
        <w:rPr>
          <w:b/>
          <w:bCs/>
          <w:sz w:val="24"/>
          <w:szCs w:val="24"/>
          <w:u w:val="single"/>
        </w:rPr>
        <w:t>City of Beaumont</w:t>
      </w:r>
      <w:r>
        <w:rPr>
          <w:sz w:val="24"/>
          <w:szCs w:val="24"/>
        </w:rPr>
        <w:t xml:space="preserve"> - (Ordinance No. 291) This agreement was originally granted for a term of 40 years from October 30,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0.0473 miles of pipe located in the City of Beaumont.  The 1997 rental was $36.71.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4.</w:t>
        <w:tab/>
      </w:r>
      <w:r>
        <w:rPr>
          <w:b/>
          <w:bCs/>
          <w:sz w:val="24"/>
          <w:szCs w:val="24"/>
          <w:u w:val="single"/>
        </w:rPr>
        <w:t>City of Cerritos</w:t>
      </w:r>
      <w:r>
        <w:rPr>
          <w:sz w:val="24"/>
          <w:szCs w:val="24"/>
        </w:rPr>
        <w:t xml:space="preserve"> - (Ordinance No. 47) This agreement was originally granted for a term of 40 years from October 1,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2.0234 miles of pipe located in the City of Cerritos.  The 1997 rental was $1,570.29.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5.</w:t>
        <w:tab/>
      </w:r>
      <w:r>
        <w:rPr>
          <w:b/>
          <w:bCs/>
          <w:sz w:val="24"/>
          <w:szCs w:val="24"/>
          <w:u w:val="single"/>
        </w:rPr>
        <w:t>City of Corona</w:t>
      </w:r>
      <w:r>
        <w:rPr>
          <w:sz w:val="24"/>
          <w:szCs w:val="24"/>
        </w:rPr>
        <w:t xml:space="preserve"> - (Ordinance No. 702) This agreement was originally granted for a term of 40 years from November 5,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1.973 miles of pipe located in the City of Corona.  The 1997 rental was $1,531.20.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6.</w:t>
        <w:tab/>
      </w:r>
      <w:r>
        <w:rPr>
          <w:b/>
          <w:bCs/>
          <w:sz w:val="24"/>
          <w:szCs w:val="24"/>
          <w:u w:val="single"/>
        </w:rPr>
        <w:t>City of Lakewood</w:t>
      </w:r>
      <w:r>
        <w:rPr>
          <w:sz w:val="24"/>
          <w:szCs w:val="24"/>
        </w:rPr>
        <w:t xml:space="preserve"> - (Ordinance No. 135) This agreement was originally granted for a term of 40 years from October 18,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3.58692 miles of pipe located in the City of Lakewood.  The 1997 rental was $2,783.73.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7.</w:t>
        <w:tab/>
      </w:r>
      <w:r>
        <w:rPr>
          <w:b/>
          <w:bCs/>
          <w:sz w:val="24"/>
          <w:szCs w:val="24"/>
          <w:u w:val="single"/>
        </w:rPr>
        <w:t>City of Moreno Valley</w:t>
      </w:r>
      <w:r>
        <w:rPr>
          <w:sz w:val="24"/>
          <w:szCs w:val="24"/>
        </w:rPr>
        <w:t xml:space="preserve"> - (Ordinance No. 445) This agreement was originally granted for a term of 40 years from December 2,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0.94 miles of pipe located in the City of Moreno Valley.  The 1997 rental was $729.52.  On June 3, 1997 the city notified Arco that there were 5,693.0 feet of pipe located in the city, not the .94 miles of pipe that Arco was paying franchise fees on.  There was no indication in the file that this matter had been resolved.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8.</w:t>
        <w:tab/>
      </w:r>
      <w:r>
        <w:rPr>
          <w:b/>
          <w:bCs/>
          <w:sz w:val="24"/>
          <w:szCs w:val="24"/>
          <w:u w:val="single"/>
        </w:rPr>
        <w:t>City of Riverside</w:t>
      </w:r>
      <w:r>
        <w:rPr>
          <w:sz w:val="24"/>
          <w:szCs w:val="24"/>
        </w:rPr>
        <w:t xml:space="preserve"> - (Ordinance No. 6204) This agreement was originally granted for a term of 25 years from December 22, 1992.  This agreement requires consent of the city to assign this agreement to a third party.  The agreement also requires Arco to relocate the pipeline at the request of the city.  Arco must pay a rate of .352 per foot for the pipeline located in the city.  This rate has CPI escalators.  There are 4.714 miles of pipe located in the City of Riverside.  The 1997 rental was $13,860.34.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9.</w:t>
        <w:tab/>
      </w:r>
      <w:r>
        <w:rPr>
          <w:b/>
          <w:bCs/>
          <w:sz w:val="24"/>
          <w:szCs w:val="24"/>
          <w:u w:val="single"/>
        </w:rPr>
        <w:t>County of Orange</w:t>
      </w:r>
      <w:r>
        <w:rPr>
          <w:sz w:val="24"/>
          <w:szCs w:val="24"/>
        </w:rPr>
        <w:t xml:space="preserve"> - (Ordinance No. 994) This agreement was originally granted for a term of 40 years from October 15,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0.3231 miles of pipe located in Orange County.  The 1997 rental was $250.75.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sz w:val="24"/>
          <w:szCs w:val="24"/>
        </w:rPr>
        <w:t>10.</w:t>
        <w:tab/>
      </w:r>
      <w:r>
        <w:rPr>
          <w:b/>
          <w:bCs/>
          <w:sz w:val="24"/>
          <w:szCs w:val="24"/>
          <w:u w:val="single"/>
        </w:rPr>
        <w:t>County of San Bernardino</w:t>
      </w:r>
      <w:r>
        <w:rPr>
          <w:sz w:val="24"/>
          <w:szCs w:val="24"/>
        </w:rPr>
        <w:t xml:space="preserve"> - (Ordinance No. 839) This agreement was originally granted for a term of 40 years from November 20,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3.577 miles of pipe located in San Bernardino County.  The 1997 rental was $2,776.03.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t>11.</w:t>
        <w:tab/>
      </w:r>
      <w:r>
        <w:rPr>
          <w:b/>
          <w:bCs/>
          <w:sz w:val="24"/>
          <w:szCs w:val="24"/>
          <w:u w:val="single"/>
        </w:rPr>
        <w:t>County of Riverside</w:t>
      </w:r>
      <w:r>
        <w:rPr>
          <w:sz w:val="24"/>
          <w:szCs w:val="24"/>
        </w:rPr>
        <w:t xml:space="preserve"> - (Ordinance No. 445) This agreement was originally granted for a term of 40 years from December 31, 1957.  Arco applied for a renewal of this agreement on January 22, 1997, requesting an additional 20-year term.  Arco sent a letter to the city on August 27, 1997, requesting that the city take action on renewal of this agreement.  As of the date of this review this agreement has not been re-negotiated.  This agreement requires consent of the city to assign this agreement to a third party.  The agreement also requires Arco to relocate the pipeline at the request of the city.  Arco must pay the city 2% of Gross Annual Receipts as compensation for this franchise.  This percentage is based on the number of miles of pipe located in the city as a percentage of total miles of the system.  There are 02.286 miles of pipe located in Riverside County.  The 1997 rental was $1,774.12.  This annual fee is payable in March each year and must be paid within 60 days of the due date.  Failure to pay the franchise fee within 30 days of notice of non-payment is grounds for forfeiture of the agreement.</w:t>
      </w:r>
    </w:p>
    <w:p>
      <w:pPr>
        <w:pStyle w:val="Normal"/>
        <w:ind w:start="720" w:end="0"/>
        <w:jc w:val="both"/>
        <w:rPr>
          <w:sz w:val="24"/>
          <w:szCs w:val="24"/>
        </w:rPr>
      </w:pPr>
      <w:r>
        <w:rPr>
          <w:sz w:val="24"/>
          <w:szCs w:val="24"/>
        </w:rPr>
      </w:r>
    </w:p>
    <w:p>
      <w:pPr>
        <w:pStyle w:val="Normal"/>
        <w:ind w:hanging="720" w:start="1440" w:end="0"/>
        <w:jc w:val="both"/>
        <w:rPr/>
      </w:pPr>
      <w:r>
        <w:rPr/>
        <w:t>12.</w:t>
        <w:tab/>
      </w:r>
      <w:r>
        <w:rPr>
          <w:b/>
          <w:bCs/>
          <w:sz w:val="24"/>
          <w:szCs w:val="24"/>
          <w:u w:val="single"/>
        </w:rPr>
        <w:t>City of Long Beach</w:t>
      </w:r>
      <w:r>
        <w:rPr>
          <w:sz w:val="24"/>
          <w:szCs w:val="24"/>
        </w:rPr>
        <w:t xml:space="preserve"> - (Ordinance No. 80-57) This agreement covers line 90.  The agreement covers 130 feet of pipe, which is paid annually.  The Agreement provides for an annual CPI escalator.  The rate in 1997 was $1.174 per foot.  The annual fee paid in 1997 was $152.62.  This agreement requires consent of the city to assign this agreement to a third party.  The agreement also requires Arco to relocate the pipeline at the request of the city.  This annual fee is payable in March each year and must be paid within 60 days of the due date.  Failure to pay the franchise fee within 30 days of notice of non-payment is grounds for forfeiture of the agreement.</w:t>
      </w:r>
    </w:p>
    <w:p>
      <w:pPr>
        <w:pStyle w:val="Normal"/>
        <w:ind w:hanging="720" w:start="1440" w:end="0"/>
        <w:jc w:val="both"/>
        <w:rPr>
          <w:sz w:val="24"/>
          <w:szCs w:val="24"/>
        </w:rPr>
      </w:pPr>
      <w:r>
        <w:rPr>
          <w:sz w:val="24"/>
          <w:szCs w:val="24"/>
        </w:rPr>
      </w:r>
    </w:p>
    <w:p>
      <w:pPr>
        <w:pStyle w:val="Normal"/>
        <w:ind w:hanging="720" w:start="1440" w:end="0"/>
        <w:jc w:val="both"/>
        <w:rPr>
          <w:sz w:val="24"/>
          <w:szCs w:val="24"/>
        </w:rPr>
      </w:pPr>
      <w:r>
        <w:rPr>
          <w:sz w:val="24"/>
          <w:szCs w:val="24"/>
        </w:rPr>
        <w:tab/>
        <w:t>(Ordinance No. 80-57) This agreement covers line 32.  The agreement covers the following pipe at the following rates for 1997:</w:t>
      </w:r>
    </w:p>
    <w:p>
      <w:pPr>
        <w:pStyle w:val="Normal"/>
        <w:ind w:hanging="720" w:start="1440" w:end="0"/>
        <w:jc w:val="both"/>
        <w:rPr>
          <w:sz w:val="24"/>
          <w:szCs w:val="24"/>
        </w:rPr>
      </w:pPr>
      <w:r>
        <w:rPr>
          <w:sz w:val="24"/>
          <w:szCs w:val="24"/>
        </w:rPr>
      </w:r>
    </w:p>
    <w:p>
      <w:pPr>
        <w:pStyle w:val="Normal"/>
        <w:ind w:hanging="720" w:start="2160" w:end="0"/>
        <w:jc w:val="both"/>
        <w:rPr>
          <w:sz w:val="24"/>
          <w:szCs w:val="24"/>
        </w:rPr>
      </w:pPr>
      <w:r>
        <w:rPr>
          <w:sz w:val="24"/>
          <w:szCs w:val="24"/>
        </w:rPr>
        <w:t>13 feet of 4-inch pipe at .232 per foot</w:t>
        <w:tab/>
        <w:tab/>
        <w:tab/>
        <w:t>$ 3.02</w:t>
      </w:r>
    </w:p>
    <w:p>
      <w:pPr>
        <w:pStyle w:val="Normal"/>
        <w:ind w:hanging="720" w:start="2160" w:end="0"/>
        <w:jc w:val="both"/>
        <w:rPr>
          <w:sz w:val="24"/>
          <w:szCs w:val="24"/>
        </w:rPr>
      </w:pPr>
      <w:r>
        <w:rPr>
          <w:sz w:val="24"/>
          <w:szCs w:val="24"/>
        </w:rPr>
        <w:t>15,856 feet of 6-inch pipe at .352 per foot</w:t>
        <w:tab/>
        <w:tab/>
        <w:t>$5,581.31</w:t>
      </w:r>
    </w:p>
    <w:p>
      <w:pPr>
        <w:pStyle w:val="Normal"/>
        <w:ind w:hanging="720" w:start="2160" w:end="0"/>
        <w:jc w:val="both"/>
        <w:rPr>
          <w:sz w:val="24"/>
          <w:szCs w:val="24"/>
        </w:rPr>
      </w:pPr>
      <w:r>
        <w:rPr>
          <w:sz w:val="24"/>
          <w:szCs w:val="24"/>
        </w:rPr>
        <w:t>173 feet of 8 inch casing at .471 per foot</w:t>
        <w:tab/>
        <w:tab/>
        <w:t>$ 81.48</w:t>
      </w:r>
    </w:p>
    <w:p>
      <w:pPr>
        <w:pStyle w:val="Normal"/>
        <w:ind w:hanging="720" w:start="2160" w:end="0"/>
        <w:jc w:val="both"/>
        <w:rPr>
          <w:sz w:val="24"/>
          <w:szCs w:val="24"/>
        </w:rPr>
      </w:pPr>
      <w:r>
        <w:rPr>
          <w:sz w:val="24"/>
          <w:szCs w:val="24"/>
        </w:rPr>
        <w:t>214 feet of 10 inch casing at .584 per foot</w:t>
        <w:tab/>
        <w:tab/>
        <w:t>$ 124.98</w:t>
      </w:r>
    </w:p>
    <w:p>
      <w:pPr>
        <w:pStyle w:val="Normal"/>
        <w:ind w:hanging="720" w:start="2160" w:end="0"/>
        <w:jc w:val="both"/>
        <w:rPr/>
      </w:pPr>
      <w:r>
        <w:rPr>
          <w:sz w:val="24"/>
          <w:szCs w:val="24"/>
        </w:rPr>
        <w:t>287 feet of 12 inch casing at .703 per foot</w:t>
        <w:tab/>
        <w:tab/>
      </w:r>
      <w:r>
        <w:rPr>
          <w:sz w:val="24"/>
          <w:szCs w:val="24"/>
          <w:u w:val="single"/>
        </w:rPr>
        <w:t>$ 201.76</w:t>
      </w:r>
    </w:p>
    <w:p>
      <w:pPr>
        <w:pStyle w:val="Normal"/>
        <w:ind w:hanging="720" w:start="2160" w:end="0"/>
        <w:jc w:val="both"/>
        <w:rPr>
          <w:sz w:val="24"/>
          <w:szCs w:val="24"/>
          <w:u w:val="single"/>
        </w:rPr>
      </w:pPr>
      <w:r>
        <w:rPr>
          <w:sz w:val="24"/>
          <w:szCs w:val="24"/>
          <w:u w:val="single"/>
        </w:rPr>
      </w:r>
    </w:p>
    <w:p>
      <w:pPr>
        <w:pStyle w:val="Normal"/>
        <w:ind w:hanging="720" w:start="2160" w:end="0"/>
        <w:jc w:val="both"/>
        <w:rPr>
          <w:sz w:val="24"/>
          <w:szCs w:val="24"/>
        </w:rPr>
      </w:pPr>
      <w:r>
        <w:rPr>
          <w:sz w:val="24"/>
          <w:szCs w:val="24"/>
        </w:rPr>
        <w:t>Total 1996 payments</w:t>
        <w:tab/>
        <w:tab/>
        <w:tab/>
        <w:tab/>
        <w:tab/>
        <w:t>$5,992.55</w:t>
      </w:r>
    </w:p>
    <w:p>
      <w:pPr>
        <w:pStyle w:val="Normal"/>
        <w:ind w:hanging="720" w:start="1440" w:end="0"/>
        <w:jc w:val="both"/>
        <w:rPr>
          <w:sz w:val="24"/>
          <w:szCs w:val="24"/>
        </w:rPr>
      </w:pPr>
      <w:r>
        <w:rPr>
          <w:sz w:val="24"/>
          <w:szCs w:val="24"/>
        </w:rPr>
      </w:r>
    </w:p>
    <w:p>
      <w:pPr>
        <w:pStyle w:val="Normal"/>
        <w:ind w:hanging="720" w:start="1440" w:end="0"/>
        <w:jc w:val="both"/>
        <w:rPr>
          <w:sz w:val="24"/>
          <w:szCs w:val="24"/>
        </w:rPr>
      </w:pPr>
      <w:r>
        <w:rPr>
          <w:sz w:val="24"/>
          <w:szCs w:val="24"/>
        </w:rPr>
        <w:tab/>
        <w:t>The Agreement provides for an annual CPI escalator.  This agreement requires consent of the city to assign this agreement to a third party.  The agreement also requires Arco to relocate the pipeline at the request of the city.  This annual fee is payable in March each year and must be paid within 60 days of the due date.  Failure to pay the franchise fee within 30 days of notice of non-payment is grounds for forfeiture of the agreement.</w:t>
      </w:r>
    </w:p>
    <w:p>
      <w:pPr>
        <w:pStyle w:val="Normal"/>
        <w:ind w:hanging="720" w:start="1440" w:end="0"/>
        <w:jc w:val="both"/>
        <w:rPr>
          <w:sz w:val="24"/>
          <w:szCs w:val="24"/>
        </w:rPr>
      </w:pPr>
      <w:r>
        <w:rPr>
          <w:sz w:val="24"/>
          <w:szCs w:val="24"/>
        </w:rPr>
      </w:r>
    </w:p>
    <w:p>
      <w:pPr>
        <w:pStyle w:val="Normal"/>
        <w:ind w:hanging="720" w:start="1440" w:end="0"/>
        <w:jc w:val="both"/>
        <w:rPr/>
      </w:pPr>
      <w:r>
        <w:rPr>
          <w:sz w:val="24"/>
          <w:szCs w:val="24"/>
        </w:rPr>
        <w:tab/>
      </w:r>
      <w:r>
        <w:rPr>
          <w:color w:val="0000FF"/>
          <w:sz w:val="24"/>
          <w:szCs w:val="24"/>
        </w:rPr>
        <w:t>All of these Franchise renewals are still ongoing. Questar is attempting to acquire either easements or permits, in lieu of Franchise Agreements, based on the fact that the pipeline is currently FERC certificated, rather than under PUC jurisdiction.</w:t>
      </w:r>
    </w:p>
    <w:p>
      <w:pPr>
        <w:pStyle w:val="Normal"/>
        <w:ind w:hanging="720" w:start="1440" w:end="0"/>
        <w:jc w:val="both"/>
        <w:rPr>
          <w:color w:val="0000FF"/>
          <w:sz w:val="24"/>
          <w:szCs w:val="24"/>
        </w:rPr>
      </w:pPr>
      <w:r>
        <w:rPr>
          <w:color w:val="0000FF"/>
          <w:sz w:val="24"/>
          <w:szCs w:val="24"/>
        </w:rPr>
      </w:r>
    </w:p>
    <w:p>
      <w:pPr>
        <w:pStyle w:val="Normal"/>
        <w:ind w:hanging="720" w:start="1440" w:end="0"/>
        <w:jc w:val="both"/>
        <w:rPr>
          <w:color w:val="0000FF"/>
          <w:sz w:val="24"/>
          <w:szCs w:val="24"/>
        </w:rPr>
      </w:pPr>
      <w:r>
        <w:rPr>
          <w:color w:val="0000FF"/>
          <w:sz w:val="24"/>
          <w:szCs w:val="24"/>
        </w:rPr>
        <w:tab/>
        <w:t>We have requested the following reports, which Questar has promised to provide:</w:t>
      </w:r>
    </w:p>
    <w:p>
      <w:pPr>
        <w:pStyle w:val="Normal"/>
        <w:ind w:hanging="720" w:start="1440" w:end="0"/>
        <w:jc w:val="both"/>
        <w:rPr>
          <w:color w:val="0000FF"/>
          <w:sz w:val="24"/>
          <w:szCs w:val="24"/>
        </w:rPr>
      </w:pPr>
      <w:r>
        <w:rPr>
          <w:color w:val="0000FF"/>
          <w:sz w:val="24"/>
          <w:szCs w:val="24"/>
        </w:rPr>
      </w:r>
    </w:p>
    <w:p>
      <w:pPr>
        <w:pStyle w:val="Normal"/>
        <w:numPr>
          <w:ilvl w:val="0"/>
          <w:numId w:val="1"/>
        </w:numPr>
        <w:tabs>
          <w:tab w:val="clear" w:pos="720"/>
          <w:tab w:val="left" w:pos="0" w:leader="none"/>
          <w:tab w:val="left" w:pos="2160" w:leader="none"/>
        </w:tabs>
        <w:ind w:hanging="720" w:start="2880" w:end="0"/>
        <w:jc w:val="both"/>
        <w:rPr>
          <w:color w:val="0000FF"/>
          <w:sz w:val="24"/>
          <w:szCs w:val="24"/>
        </w:rPr>
      </w:pPr>
      <w:r>
        <w:rPr>
          <w:color w:val="0000FF"/>
          <w:sz w:val="24"/>
          <w:szCs w:val="24"/>
        </w:rPr>
        <w:t>Rental/Term report</w:t>
      </w:r>
    </w:p>
    <w:p>
      <w:pPr>
        <w:pStyle w:val="Normal"/>
        <w:numPr>
          <w:ilvl w:val="0"/>
          <w:numId w:val="1"/>
        </w:numPr>
        <w:tabs>
          <w:tab w:val="clear" w:pos="720"/>
          <w:tab w:val="left" w:pos="0" w:leader="none"/>
          <w:tab w:val="left" w:pos="2160" w:leader="none"/>
        </w:tabs>
        <w:ind w:hanging="720" w:start="2880" w:end="0"/>
        <w:jc w:val="both"/>
        <w:rPr>
          <w:color w:val="0000FF"/>
          <w:sz w:val="24"/>
          <w:szCs w:val="24"/>
        </w:rPr>
      </w:pPr>
      <w:r>
        <w:rPr>
          <w:color w:val="0000FF"/>
          <w:sz w:val="24"/>
          <w:szCs w:val="24"/>
        </w:rPr>
        <w:t>Encroachment report</w:t>
      </w:r>
    </w:p>
    <w:p>
      <w:pPr>
        <w:pStyle w:val="Normal"/>
        <w:numPr>
          <w:ilvl w:val="0"/>
          <w:numId w:val="1"/>
        </w:numPr>
        <w:tabs>
          <w:tab w:val="clear" w:pos="720"/>
          <w:tab w:val="left" w:pos="0" w:leader="none"/>
          <w:tab w:val="left" w:pos="2160" w:leader="none"/>
        </w:tabs>
        <w:ind w:hanging="720" w:start="2880" w:end="0"/>
        <w:jc w:val="both"/>
        <w:rPr>
          <w:color w:val="0000FF"/>
          <w:sz w:val="24"/>
          <w:szCs w:val="24"/>
        </w:rPr>
      </w:pPr>
      <w:r>
        <w:rPr>
          <w:color w:val="0000FF"/>
          <w:sz w:val="24"/>
          <w:szCs w:val="24"/>
        </w:rPr>
        <w:t>Curative report</w:t>
      </w:r>
    </w:p>
    <w:p>
      <w:pPr>
        <w:pStyle w:val="Normal"/>
        <w:numPr>
          <w:ilvl w:val="0"/>
          <w:numId w:val="1"/>
        </w:numPr>
        <w:tabs>
          <w:tab w:val="clear" w:pos="720"/>
          <w:tab w:val="left" w:pos="0" w:leader="none"/>
          <w:tab w:val="left" w:pos="2160" w:leader="none"/>
        </w:tabs>
        <w:ind w:hanging="720" w:start="2880" w:end="0"/>
        <w:jc w:val="both"/>
        <w:rPr>
          <w:color w:val="0000FF"/>
          <w:sz w:val="24"/>
          <w:szCs w:val="24"/>
        </w:rPr>
      </w:pPr>
      <w:r>
        <w:rPr>
          <w:color w:val="0000FF"/>
          <w:sz w:val="24"/>
          <w:szCs w:val="24"/>
        </w:rPr>
        <w:t>Footages for all right-of-way tracts</w:t>
      </w:r>
    </w:p>
    <w:p>
      <w:pPr>
        <w:pStyle w:val="Normal"/>
        <w:numPr>
          <w:ilvl w:val="0"/>
          <w:numId w:val="1"/>
        </w:numPr>
        <w:tabs>
          <w:tab w:val="clear" w:pos="720"/>
          <w:tab w:val="left" w:pos="0" w:leader="none"/>
          <w:tab w:val="left" w:pos="2160" w:leader="none"/>
        </w:tabs>
        <w:ind w:hanging="360" w:start="2880" w:end="0"/>
        <w:jc w:val="both"/>
        <w:rPr>
          <w:color w:val="0000FF"/>
          <w:sz w:val="24"/>
          <w:szCs w:val="24"/>
        </w:rPr>
      </w:pPr>
      <w:r>
        <w:rPr>
          <w:color w:val="0000FF"/>
          <w:sz w:val="24"/>
          <w:szCs w:val="24"/>
        </w:rPr>
        <w:t>Current ROW appraisals</w:t>
      </w:r>
    </w:p>
    <w:p>
      <w:pPr>
        <w:pStyle w:val="Normal"/>
        <w:ind w:hanging="720" w:start="1440" w:end="0"/>
        <w:jc w:val="both"/>
        <w:rPr>
          <w:color w:val="0000FF"/>
          <w:sz w:val="24"/>
          <w:szCs w:val="24"/>
        </w:rPr>
      </w:pPr>
      <w:r>
        <w:rPr>
          <w:color w:val="0000FF"/>
          <w:sz w:val="24"/>
          <w:szCs w:val="24"/>
        </w:rPr>
      </w:r>
    </w:p>
    <w:p>
      <w:pPr>
        <w:pStyle w:val="Normal"/>
        <w:ind w:start="1440" w:end="0"/>
        <w:jc w:val="both"/>
        <w:rPr>
          <w:color w:val="0000FF"/>
          <w:sz w:val="24"/>
          <w:szCs w:val="24"/>
        </w:rPr>
      </w:pPr>
      <w:r>
        <w:rPr>
          <w:color w:val="0000FF"/>
          <w:sz w:val="24"/>
          <w:szCs w:val="24"/>
        </w:rPr>
        <w:t xml:space="preserve">The following are some of the Right-of-Way Department’s concerns based on the limited information available for our due diligence review. </w:t>
      </w:r>
    </w:p>
    <w:p>
      <w:pPr>
        <w:pStyle w:val="Normal"/>
        <w:ind w:start="1440" w:end="0"/>
        <w:jc w:val="both"/>
        <w:rPr>
          <w:color w:val="0000FF"/>
          <w:sz w:val="24"/>
          <w:szCs w:val="24"/>
        </w:rPr>
      </w:pPr>
      <w:r>
        <w:rPr>
          <w:color w:val="0000FF"/>
          <w:sz w:val="24"/>
          <w:szCs w:val="24"/>
        </w:rPr>
      </w:r>
    </w:p>
    <w:p>
      <w:pPr>
        <w:pStyle w:val="Normal"/>
        <w:numPr>
          <w:ilvl w:val="0"/>
          <w:numId w:val="2"/>
        </w:numPr>
        <w:tabs>
          <w:tab w:val="clear" w:pos="720"/>
          <w:tab w:val="left" w:pos="0" w:leader="none"/>
          <w:tab w:val="left" w:pos="2160" w:leader="none"/>
        </w:tabs>
        <w:ind w:hanging="720" w:start="2880" w:end="0"/>
        <w:jc w:val="both"/>
        <w:rPr/>
      </w:pPr>
      <w:r>
        <w:rPr>
          <w:b/>
          <w:bCs/>
          <w:color w:val="0000FF"/>
          <w:sz w:val="24"/>
          <w:szCs w:val="24"/>
          <w:u w:val="single"/>
        </w:rPr>
        <w:t>NON-USE</w:t>
      </w:r>
      <w:r>
        <w:rPr>
          <w:color w:val="0000FF"/>
          <w:sz w:val="24"/>
          <w:szCs w:val="24"/>
        </w:rPr>
        <w:t xml:space="preserve"> </w:t>
      </w:r>
    </w:p>
    <w:p>
      <w:pPr>
        <w:pStyle w:val="Normal"/>
        <w:numPr>
          <w:ilvl w:val="0"/>
          <w:numId w:val="0"/>
        </w:numPr>
        <w:ind w:hanging="0" w:start="2160" w:end="0"/>
        <w:jc w:val="both"/>
        <w:rPr>
          <w:color w:val="0000FF"/>
          <w:sz w:val="24"/>
          <w:szCs w:val="24"/>
        </w:rPr>
      </w:pPr>
      <w:r>
        <w:rPr>
          <w:color w:val="0000FF"/>
          <w:sz w:val="24"/>
          <w:szCs w:val="24"/>
        </w:rPr>
      </w:r>
    </w:p>
    <w:p>
      <w:pPr>
        <w:pStyle w:val="Normal"/>
        <w:numPr>
          <w:ilvl w:val="0"/>
          <w:numId w:val="0"/>
        </w:numPr>
        <w:ind w:hanging="0" w:start="2520" w:end="0"/>
        <w:jc w:val="both"/>
        <w:rPr/>
      </w:pPr>
      <w:r>
        <w:rPr>
          <w:color w:val="0000FF"/>
          <w:sz w:val="24"/>
          <w:szCs w:val="24"/>
        </w:rPr>
        <w:t xml:space="preserve">This pipeline has </w:t>
      </w:r>
      <w:r>
        <w:rPr>
          <w:b/>
          <w:bCs/>
          <w:color w:val="0000FF"/>
          <w:sz w:val="24"/>
          <w:szCs w:val="24"/>
          <w:u w:val="single"/>
        </w:rPr>
        <w:t>not transported</w:t>
      </w:r>
      <w:r>
        <w:rPr>
          <w:color w:val="0000FF"/>
          <w:sz w:val="24"/>
          <w:szCs w:val="24"/>
        </w:rPr>
        <w:t xml:space="preserve"> any product since 1998, and in some instances, certain segments have not transported for longer periods of time. A report was furnished by Questar, which identified certain rights contained within existing right-of-way documents, two (2) of which were </w:t>
      </w:r>
      <w:r>
        <w:rPr>
          <w:b/>
          <w:bCs/>
          <w:color w:val="0000FF"/>
          <w:sz w:val="24"/>
          <w:szCs w:val="24"/>
          <w:u w:val="single"/>
        </w:rPr>
        <w:t>non-use term</w:t>
      </w:r>
      <w:r>
        <w:rPr>
          <w:color w:val="0000FF"/>
          <w:sz w:val="24"/>
          <w:szCs w:val="24"/>
        </w:rPr>
        <w:t xml:space="preserve"> and </w:t>
      </w:r>
      <w:r>
        <w:rPr>
          <w:b/>
          <w:bCs/>
          <w:color w:val="0000FF"/>
          <w:sz w:val="24"/>
          <w:szCs w:val="24"/>
          <w:u w:val="single"/>
        </w:rPr>
        <w:t>non-use removal required</w:t>
      </w:r>
      <w:r>
        <w:rPr>
          <w:color w:val="0000FF"/>
          <w:sz w:val="24"/>
          <w:szCs w:val="24"/>
        </w:rPr>
        <w:t xml:space="preserve">. Paragon stated that Questar’s Legal Department’s position was that maintenance of the right-of-way was sufficient to not trigger non-use. Lou Soldano, Legal for Transwestern, wholeheartedly </w:t>
      </w:r>
      <w:r>
        <w:rPr>
          <w:b/>
          <w:bCs/>
          <w:color w:val="0000FF"/>
          <w:sz w:val="24"/>
          <w:szCs w:val="24"/>
        </w:rPr>
        <w:t>DISAGREES.</w:t>
      </w:r>
      <w:r>
        <w:rPr>
          <w:color w:val="0000FF"/>
          <w:sz w:val="24"/>
          <w:szCs w:val="24"/>
        </w:rPr>
        <w:t xml:space="preserve"> If the question were of abandonment, maintenance of the pipeline would qualify, but not the lack of a product flowing for non-use purposes. There are </w:t>
      </w:r>
      <w:r>
        <w:rPr>
          <w:b/>
          <w:bCs/>
          <w:color w:val="0000FF"/>
          <w:sz w:val="24"/>
          <w:szCs w:val="24"/>
        </w:rPr>
        <w:t>many miles</w:t>
      </w:r>
      <w:r>
        <w:rPr>
          <w:color w:val="0000FF"/>
          <w:sz w:val="24"/>
          <w:szCs w:val="24"/>
        </w:rPr>
        <w:t xml:space="preserve"> of pipeline right-of-way documents that would be </w:t>
      </w:r>
      <w:r>
        <w:rPr>
          <w:b/>
          <w:bCs/>
          <w:color w:val="0000FF"/>
          <w:sz w:val="24"/>
          <w:szCs w:val="24"/>
        </w:rPr>
        <w:t>lost through</w:t>
      </w:r>
      <w:r>
        <w:rPr>
          <w:color w:val="0000FF"/>
          <w:sz w:val="24"/>
          <w:szCs w:val="24"/>
        </w:rPr>
        <w:t xml:space="preserve"> </w:t>
      </w:r>
      <w:r>
        <w:rPr>
          <w:b/>
          <w:bCs/>
          <w:color w:val="0000FF"/>
          <w:sz w:val="24"/>
          <w:szCs w:val="24"/>
        </w:rPr>
        <w:t>non-use</w:t>
      </w:r>
      <w:r>
        <w:rPr>
          <w:color w:val="0000FF"/>
          <w:sz w:val="24"/>
          <w:szCs w:val="24"/>
        </w:rPr>
        <w:t>, including the aforementioned Nohl easement (Anaheim Hills area).</w:t>
      </w:r>
    </w:p>
    <w:p>
      <w:pPr>
        <w:pStyle w:val="Normal"/>
        <w:numPr>
          <w:ilvl w:val="0"/>
          <w:numId w:val="0"/>
        </w:numPr>
        <w:ind w:hanging="0" w:start="0"/>
        <w:jc w:val="both"/>
        <w:rPr>
          <w:color w:val="0000FF"/>
          <w:sz w:val="24"/>
          <w:szCs w:val="24"/>
        </w:rPr>
      </w:pPr>
      <w:r>
        <w:rPr>
          <w:color w:val="0000FF"/>
          <w:sz w:val="24"/>
          <w:szCs w:val="24"/>
        </w:rPr>
      </w:r>
    </w:p>
    <w:p>
      <w:pPr>
        <w:pStyle w:val="Normal"/>
        <w:numPr>
          <w:ilvl w:val="0"/>
          <w:numId w:val="2"/>
        </w:numPr>
        <w:tabs>
          <w:tab w:val="clear" w:pos="720"/>
          <w:tab w:val="left" w:pos="0" w:leader="none"/>
          <w:tab w:val="left" w:pos="2160" w:leader="none"/>
        </w:tabs>
        <w:ind w:hanging="720" w:start="2880" w:end="0"/>
        <w:jc w:val="both"/>
        <w:rPr>
          <w:b/>
          <w:bCs/>
          <w:color w:val="0000FF"/>
          <w:sz w:val="24"/>
          <w:szCs w:val="24"/>
          <w:u w:val="single"/>
        </w:rPr>
      </w:pPr>
      <w:r>
        <w:rPr>
          <w:b/>
          <w:bCs/>
          <w:color w:val="0000FF"/>
          <w:sz w:val="24"/>
          <w:szCs w:val="24"/>
          <w:u w:val="single"/>
        </w:rPr>
        <w:t>POTENTIAL GAPS</w:t>
      </w:r>
    </w:p>
    <w:p>
      <w:pPr>
        <w:pStyle w:val="Normal"/>
        <w:numPr>
          <w:ilvl w:val="0"/>
          <w:numId w:val="0"/>
        </w:numPr>
        <w:ind w:hanging="0" w:start="2160" w:end="0"/>
        <w:jc w:val="both"/>
        <w:rPr>
          <w:b/>
          <w:bCs/>
          <w:color w:val="0000FF"/>
          <w:sz w:val="24"/>
          <w:szCs w:val="24"/>
          <w:u w:val="single"/>
        </w:rPr>
      </w:pPr>
      <w:r>
        <w:rPr>
          <w:b/>
          <w:bCs/>
          <w:color w:val="0000FF"/>
          <w:sz w:val="24"/>
          <w:szCs w:val="24"/>
          <w:u w:val="single"/>
        </w:rPr>
      </w:r>
    </w:p>
    <w:p>
      <w:pPr>
        <w:pStyle w:val="BodyTextIndent2"/>
        <w:numPr>
          <w:ilvl w:val="0"/>
          <w:numId w:val="0"/>
        </w:numPr>
        <w:ind w:hanging="0" w:start="2520"/>
        <w:rPr/>
      </w:pPr>
      <w:r>
        <w:rPr/>
        <w:t>Until the current right-of-way files along with their corresponding alignment sheets can be examined, there is the potential for numerous gaps and the loss of easement rights due to inactivity of pipeline, non-renewed ROW agreements, consent issues, etc.</w:t>
      </w:r>
    </w:p>
    <w:p>
      <w:pPr>
        <w:pStyle w:val="Normal"/>
        <w:numPr>
          <w:ilvl w:val="0"/>
          <w:numId w:val="0"/>
        </w:numPr>
        <w:ind w:hanging="0" w:start="0"/>
        <w:jc w:val="both"/>
        <w:rPr>
          <w:color w:val="0000FF"/>
          <w:sz w:val="24"/>
          <w:szCs w:val="24"/>
        </w:rPr>
      </w:pPr>
      <w:r>
        <w:rPr>
          <w:color w:val="0000FF"/>
          <w:sz w:val="24"/>
          <w:szCs w:val="24"/>
        </w:rPr>
      </w:r>
    </w:p>
    <w:p>
      <w:pPr>
        <w:pStyle w:val="Normal"/>
        <w:numPr>
          <w:ilvl w:val="0"/>
          <w:numId w:val="2"/>
        </w:numPr>
        <w:tabs>
          <w:tab w:val="clear" w:pos="720"/>
          <w:tab w:val="left" w:pos="0" w:leader="none"/>
          <w:tab w:val="left" w:pos="2160" w:leader="none"/>
        </w:tabs>
        <w:ind w:hanging="360" w:start="2880" w:end="0"/>
        <w:jc w:val="both"/>
        <w:rPr>
          <w:b/>
          <w:bCs/>
          <w:color w:val="0000FF"/>
          <w:sz w:val="24"/>
          <w:szCs w:val="24"/>
          <w:u w:val="single"/>
        </w:rPr>
      </w:pPr>
      <w:r>
        <w:rPr>
          <w:b/>
          <w:bCs/>
          <w:color w:val="0000FF"/>
          <w:sz w:val="24"/>
          <w:szCs w:val="24"/>
          <w:u w:val="single"/>
        </w:rPr>
        <w:t>FERC vs. PUC</w:t>
      </w:r>
    </w:p>
    <w:p>
      <w:pPr>
        <w:pStyle w:val="Normal"/>
        <w:ind w:start="2160" w:end="0"/>
        <w:jc w:val="both"/>
        <w:rPr>
          <w:b/>
          <w:bCs/>
          <w:color w:val="0000FF"/>
          <w:sz w:val="24"/>
          <w:szCs w:val="24"/>
          <w:u w:val="single"/>
        </w:rPr>
      </w:pPr>
      <w:r>
        <w:rPr>
          <w:b/>
          <w:bCs/>
          <w:color w:val="0000FF"/>
          <w:sz w:val="24"/>
          <w:szCs w:val="24"/>
          <w:u w:val="single"/>
        </w:rPr>
      </w:r>
    </w:p>
    <w:p>
      <w:pPr>
        <w:pStyle w:val="Normal"/>
        <w:ind w:start="2520" w:end="0"/>
        <w:jc w:val="both"/>
        <w:rPr/>
      </w:pPr>
      <w:r>
        <w:rPr>
          <w:color w:val="0000FF"/>
          <w:sz w:val="24"/>
          <w:szCs w:val="24"/>
        </w:rPr>
        <w:t xml:space="preserve">If we purchase the pipeline and it is operated as an intrastate pipeline (PUC jurisdiction) rather than an interstate pipeline (FERC certificated), would Transwestern enjoy </w:t>
      </w:r>
      <w:r>
        <w:rPr>
          <w:b/>
          <w:bCs/>
          <w:color w:val="0000FF"/>
          <w:sz w:val="24"/>
          <w:szCs w:val="24"/>
          <w:u w:val="single"/>
        </w:rPr>
        <w:t>eminent domain</w:t>
      </w:r>
      <w:r>
        <w:rPr>
          <w:color w:val="0000FF"/>
          <w:sz w:val="24"/>
          <w:szCs w:val="24"/>
        </w:rPr>
        <w:t xml:space="preserve"> rights under California state law?</w:t>
      </w:r>
    </w:p>
    <w:p>
      <w:pPr>
        <w:pStyle w:val="Normal"/>
        <w:jc w:val="both"/>
        <w:rPr>
          <w:color w:val="0000FF"/>
          <w:sz w:val="24"/>
          <w:szCs w:val="24"/>
        </w:rPr>
      </w:pPr>
      <w:r>
        <w:rPr>
          <w:color w:val="0000FF"/>
          <w:sz w:val="24"/>
          <w:szCs w:val="24"/>
        </w:rPr>
      </w:r>
    </w:p>
    <w:p>
      <w:pPr>
        <w:pStyle w:val="Normal"/>
        <w:ind w:start="720" w:end="0"/>
        <w:jc w:val="both"/>
        <w:rPr>
          <w:color w:val="0000FF"/>
          <w:sz w:val="24"/>
          <w:szCs w:val="24"/>
        </w:rPr>
      </w:pPr>
      <w:r>
        <w:rPr>
          <w:color w:val="0000FF"/>
          <w:sz w:val="24"/>
          <w:szCs w:val="24"/>
        </w:rPr>
        <w:t>Following are the total estimates that the Right-of-Way Department developed in 1997. These estimates will be much higher today if certain rights that existed in 1997 have since been lost for various reasons.</w:t>
      </w:r>
    </w:p>
    <w:p>
      <w:pPr>
        <w:pStyle w:val="Normal"/>
        <w:ind w:start="720" w:end="0"/>
        <w:jc w:val="both"/>
        <w:rPr>
          <w:color w:val="0000FF"/>
          <w:sz w:val="24"/>
          <w:szCs w:val="24"/>
        </w:rPr>
      </w:pPr>
      <w:r>
        <w:rPr>
          <w:color w:val="0000FF"/>
          <w:sz w:val="24"/>
          <w:szCs w:val="24"/>
        </w:rPr>
      </w:r>
    </w:p>
    <w:p>
      <w:pPr>
        <w:pStyle w:val="Normal"/>
        <w:ind w:start="720" w:end="0"/>
        <w:jc w:val="both"/>
        <w:rPr/>
      </w:pPr>
      <w:r>
        <w:rPr>
          <w:color w:val="0000FF"/>
          <w:sz w:val="24"/>
          <w:szCs w:val="24"/>
        </w:rPr>
        <w:tab/>
        <w:t>16” Crude Oil to Natural Gas Conversion</w:t>
      </w:r>
      <w:r>
        <w:rPr>
          <w:b/>
          <w:bCs/>
          <w:color w:val="0000FF"/>
          <w:sz w:val="24"/>
          <w:szCs w:val="24"/>
        </w:rPr>
        <w:t xml:space="preserve"> - $756,900.00</w:t>
      </w:r>
    </w:p>
    <w:p>
      <w:pPr>
        <w:pStyle w:val="Normal"/>
        <w:ind w:start="720" w:end="0"/>
        <w:jc w:val="both"/>
        <w:rPr>
          <w:b/>
          <w:bCs/>
          <w:color w:val="0000FF"/>
          <w:sz w:val="24"/>
          <w:szCs w:val="24"/>
        </w:rPr>
      </w:pPr>
      <w:r>
        <w:rPr>
          <w:b/>
          <w:bCs/>
          <w:color w:val="0000FF"/>
          <w:sz w:val="24"/>
          <w:szCs w:val="24"/>
        </w:rPr>
      </w:r>
    </w:p>
    <w:p>
      <w:pPr>
        <w:pStyle w:val="Normal"/>
        <w:ind w:start="720" w:end="0"/>
        <w:jc w:val="both"/>
        <w:rPr/>
      </w:pPr>
      <w:r>
        <w:rPr>
          <w:b/>
          <w:bCs/>
          <w:color w:val="0000FF"/>
          <w:sz w:val="24"/>
          <w:szCs w:val="24"/>
        </w:rPr>
        <w:tab/>
      </w:r>
      <w:r>
        <w:rPr>
          <w:color w:val="0000FF"/>
          <w:sz w:val="24"/>
          <w:szCs w:val="24"/>
        </w:rPr>
        <w:t>Long Beach</w:t>
      </w:r>
      <w:r>
        <w:rPr>
          <w:b/>
          <w:bCs/>
          <w:color w:val="0000FF"/>
          <w:sz w:val="24"/>
          <w:szCs w:val="24"/>
        </w:rPr>
        <w:t xml:space="preserve"> </w:t>
      </w:r>
      <w:r>
        <w:rPr>
          <w:b/>
          <w:bCs/>
          <w:color w:val="0000FF"/>
          <w:sz w:val="24"/>
          <w:szCs w:val="24"/>
          <w:u w:val="single"/>
        </w:rPr>
        <w:t>NEW</w:t>
      </w:r>
      <w:r>
        <w:rPr>
          <w:b/>
          <w:bCs/>
          <w:color w:val="0000FF"/>
          <w:sz w:val="24"/>
          <w:szCs w:val="24"/>
        </w:rPr>
        <w:t xml:space="preserve"> </w:t>
      </w:r>
      <w:r>
        <w:rPr>
          <w:color w:val="0000FF"/>
          <w:sz w:val="24"/>
          <w:szCs w:val="24"/>
        </w:rPr>
        <w:t>20” in Street Right-of-Way</w:t>
      </w:r>
      <w:r>
        <w:rPr>
          <w:b/>
          <w:bCs/>
          <w:color w:val="0000FF"/>
          <w:sz w:val="24"/>
          <w:szCs w:val="24"/>
        </w:rPr>
        <w:t xml:space="preserve"> - $1,046,500.00</w:t>
      </w:r>
    </w:p>
    <w:p>
      <w:pPr>
        <w:pStyle w:val="Normal"/>
        <w:ind w:start="720" w:end="0"/>
        <w:jc w:val="both"/>
        <w:rPr>
          <w:b/>
          <w:bCs/>
          <w:color w:val="0000FF"/>
          <w:sz w:val="24"/>
          <w:szCs w:val="24"/>
        </w:rPr>
      </w:pPr>
      <w:r>
        <w:rPr>
          <w:b/>
          <w:bCs/>
          <w:color w:val="0000FF"/>
          <w:sz w:val="24"/>
          <w:szCs w:val="24"/>
        </w:rPr>
      </w:r>
    </w:p>
    <w:p>
      <w:pPr>
        <w:pStyle w:val="Normal"/>
        <w:ind w:start="720" w:end="0"/>
        <w:jc w:val="both"/>
        <w:rPr/>
      </w:pPr>
      <w:r>
        <w:rPr>
          <w:b/>
          <w:bCs/>
          <w:color w:val="0000FF"/>
          <w:sz w:val="24"/>
          <w:szCs w:val="24"/>
        </w:rPr>
        <w:tab/>
      </w:r>
      <w:r>
        <w:rPr>
          <w:color w:val="0000FF"/>
          <w:sz w:val="24"/>
          <w:szCs w:val="24"/>
        </w:rPr>
        <w:t>16” Compression Facilities Estimate</w:t>
      </w:r>
      <w:r>
        <w:rPr>
          <w:b/>
          <w:bCs/>
          <w:color w:val="0000FF"/>
          <w:sz w:val="24"/>
          <w:szCs w:val="24"/>
        </w:rPr>
        <w:t xml:space="preserve"> - $192,400.00</w:t>
      </w:r>
    </w:p>
    <w:p>
      <w:pPr>
        <w:pStyle w:val="Normal"/>
        <w:ind w:start="720" w:end="0"/>
        <w:jc w:val="both"/>
        <w:rPr>
          <w:b/>
          <w:bCs/>
          <w:color w:val="0000FF"/>
          <w:sz w:val="24"/>
          <w:szCs w:val="24"/>
        </w:rPr>
      </w:pPr>
      <w:r>
        <w:rPr>
          <w:b/>
          <w:bCs/>
          <w:color w:val="0000FF"/>
          <w:sz w:val="24"/>
          <w:szCs w:val="24"/>
        </w:rPr>
      </w:r>
    </w:p>
    <w:p>
      <w:pPr>
        <w:pStyle w:val="Normal"/>
        <w:ind w:start="720" w:end="0"/>
        <w:jc w:val="both"/>
        <w:rPr/>
      </w:pPr>
      <w:r>
        <w:rPr>
          <w:b/>
          <w:bCs/>
          <w:color w:val="0000FF"/>
          <w:sz w:val="24"/>
          <w:szCs w:val="24"/>
        </w:rPr>
        <w:tab/>
      </w:r>
      <w:r>
        <w:rPr>
          <w:color w:val="0000FF"/>
          <w:sz w:val="24"/>
          <w:szCs w:val="24"/>
        </w:rPr>
        <w:t>Long Beach</w:t>
      </w:r>
      <w:r>
        <w:rPr>
          <w:b/>
          <w:bCs/>
          <w:color w:val="0000FF"/>
          <w:sz w:val="24"/>
          <w:szCs w:val="24"/>
        </w:rPr>
        <w:t xml:space="preserve"> </w:t>
      </w:r>
      <w:r>
        <w:rPr>
          <w:b/>
          <w:bCs/>
          <w:color w:val="0000FF"/>
          <w:sz w:val="24"/>
          <w:szCs w:val="24"/>
          <w:u w:val="single"/>
        </w:rPr>
        <w:t>NEW</w:t>
      </w:r>
      <w:r>
        <w:rPr>
          <w:b/>
          <w:bCs/>
          <w:color w:val="0000FF"/>
          <w:sz w:val="24"/>
          <w:szCs w:val="24"/>
        </w:rPr>
        <w:t xml:space="preserve"> </w:t>
      </w:r>
      <w:r>
        <w:rPr>
          <w:color w:val="0000FF"/>
          <w:sz w:val="24"/>
          <w:szCs w:val="24"/>
        </w:rPr>
        <w:t>16” in Street Right-of-Way</w:t>
      </w:r>
      <w:r>
        <w:rPr>
          <w:b/>
          <w:bCs/>
          <w:color w:val="0000FF"/>
          <w:sz w:val="24"/>
          <w:szCs w:val="24"/>
        </w:rPr>
        <w:t xml:space="preserve"> - $1,007,700.00</w:t>
      </w:r>
    </w:p>
    <w:p>
      <w:pPr>
        <w:pStyle w:val="Normal"/>
        <w:ind w:start="720" w:end="0"/>
        <w:jc w:val="both"/>
        <w:rPr>
          <w:b/>
          <w:bCs/>
          <w:color w:val="0000FF"/>
          <w:sz w:val="24"/>
          <w:szCs w:val="24"/>
        </w:rPr>
      </w:pPr>
      <w:r>
        <w:rPr>
          <w:b/>
          <w:bCs/>
          <w:color w:val="0000FF"/>
          <w:sz w:val="24"/>
          <w:szCs w:val="24"/>
        </w:rPr>
      </w:r>
    </w:p>
    <w:p>
      <w:pPr>
        <w:pStyle w:val="Normal"/>
        <w:ind w:start="720" w:end="0"/>
        <w:jc w:val="both"/>
        <w:rPr/>
      </w:pPr>
      <w:r>
        <w:rPr>
          <w:color w:val="0000FF"/>
          <w:sz w:val="24"/>
          <w:szCs w:val="24"/>
        </w:rPr>
        <w:t xml:space="preserve">There is a </w:t>
      </w:r>
      <w:r>
        <w:rPr>
          <w:b/>
          <w:bCs/>
          <w:color w:val="0000FF"/>
          <w:sz w:val="24"/>
          <w:szCs w:val="24"/>
          <w:u w:val="single"/>
        </w:rPr>
        <w:t>HIGH RISK</w:t>
      </w:r>
      <w:r>
        <w:rPr>
          <w:color w:val="0000FF"/>
          <w:sz w:val="24"/>
          <w:szCs w:val="24"/>
        </w:rPr>
        <w:t xml:space="preserve"> involvement for right-of-way concerns without a complete and thorough due diligence.</w:t>
      </w:r>
    </w:p>
    <w:p>
      <w:pPr>
        <w:pStyle w:val="Normal"/>
        <w:ind w:start="720" w:end="0"/>
        <w:jc w:val="both"/>
        <w:rPr>
          <w:color w:val="0000FF"/>
          <w:sz w:val="24"/>
          <w:szCs w:val="24"/>
        </w:rPr>
      </w:pPr>
      <w:r>
        <w:rPr>
          <w:color w:val="0000FF"/>
          <w:sz w:val="24"/>
          <w:szCs w:val="24"/>
        </w:rPr>
      </w:r>
    </w:p>
    <w:p>
      <w:pPr>
        <w:pStyle w:val="Normal"/>
        <w:ind w:start="720" w:end="0"/>
        <w:jc w:val="both"/>
        <w:rPr>
          <w:color w:val="0000FF"/>
          <w:sz w:val="24"/>
          <w:szCs w:val="24"/>
        </w:rPr>
      </w:pPr>
      <w:r>
        <w:rPr>
          <w:color w:val="0000FF"/>
          <w:sz w:val="24"/>
          <w:szCs w:val="24"/>
        </w:rPr>
        <w:t>Additionally, the Right-of-Way Department had prepared 1997 ROW Execution Plans for each of the above estimates and are available, if so desired.</w:t>
      </w:r>
    </w:p>
    <w:p>
      <w:pPr>
        <w:pStyle w:val="Normal"/>
        <w:ind w:start="720" w:end="0"/>
        <w:jc w:val="both"/>
        <w:rPr>
          <w:color w:val="0000FF"/>
          <w:sz w:val="24"/>
          <w:szCs w:val="24"/>
        </w:rPr>
      </w:pPr>
      <w:r>
        <w:rPr>
          <w:color w:val="0000FF"/>
          <w:sz w:val="24"/>
          <w:szCs w:val="24"/>
        </w:rPr>
      </w:r>
    </w:p>
    <w:p>
      <w:pPr>
        <w:pStyle w:val="Normal"/>
        <w:ind w:start="720" w:end="0"/>
        <w:jc w:val="both"/>
        <w:rPr>
          <w:color w:val="0000FF"/>
          <w:sz w:val="24"/>
          <w:szCs w:val="24"/>
        </w:rPr>
      </w:pPr>
      <w:r>
        <w:rPr>
          <w:color w:val="0000FF"/>
          <w:sz w:val="24"/>
          <w:szCs w:val="24"/>
        </w:rPr>
        <w:t xml:space="preserve"> </w:t>
      </w:r>
    </w:p>
    <w:p>
      <w:pPr>
        <w:pStyle w:val="Normal"/>
        <w:ind w:start="2160" w:end="0"/>
        <w:jc w:val="both"/>
        <w:rPr>
          <w:color w:val="0000FF"/>
          <w:sz w:val="24"/>
          <w:szCs w:val="24"/>
        </w:rPr>
      </w:pPr>
      <w:r>
        <w:rPr>
          <w:color w:val="0000FF"/>
          <w:sz w:val="24"/>
          <w:szCs w:val="24"/>
        </w:rPr>
      </w:r>
    </w:p>
    <w:p>
      <w:pPr>
        <w:pStyle w:val="Normal"/>
        <w:ind w:start="2520" w:end="0"/>
        <w:jc w:val="both"/>
        <w:rPr>
          <w:color w:val="0000FF"/>
          <w:sz w:val="24"/>
          <w:szCs w:val="24"/>
        </w:rPr>
      </w:pPr>
      <w:r>
        <w:rPr>
          <w:color w:val="0000FF"/>
          <w:sz w:val="24"/>
          <w:szCs w:val="24"/>
        </w:rPr>
      </w:r>
    </w:p>
    <w:p>
      <w:pPr>
        <w:pStyle w:val="Normal"/>
        <w:ind w:hanging="720" w:start="1440" w:end="0"/>
        <w:jc w:val="both"/>
        <w:rPr>
          <w:color w:val="0000FF"/>
          <w:sz w:val="24"/>
          <w:szCs w:val="24"/>
        </w:rPr>
      </w:pPr>
      <w:r>
        <w:rPr>
          <w:color w:val="0000FF"/>
          <w:sz w:val="24"/>
          <w:szCs w:val="24"/>
        </w:rPr>
      </w:r>
    </w:p>
    <w:p>
      <w:pPr>
        <w:pStyle w:val="Normal"/>
        <w:ind w:hanging="720" w:start="1440" w:end="0"/>
        <w:jc w:val="both"/>
        <w:rPr>
          <w:color w:val="0000FF"/>
          <w:sz w:val="24"/>
          <w:szCs w:val="24"/>
        </w:rPr>
      </w:pPr>
      <w:r>
        <w:rPr>
          <w:color w:val="0000FF"/>
          <w:sz w:val="24"/>
          <w:szCs w:val="24"/>
        </w:rPr>
      </w:r>
    </w:p>
    <w:p>
      <w:pPr>
        <w:pStyle w:val="Normal"/>
        <w:ind w:start="720" w:end="0"/>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jc w:val="both"/>
    </w:pPr>
    <w:rPr>
      <w:sz w:val="24"/>
      <w:szCs w:val="24"/>
    </w:rPr>
  </w:style>
  <w:style w:type="paragraph" w:styleId="BodyTextIndent2">
    <w:name w:val="Body Text Indent 2"/>
    <w:basedOn w:val="Normal"/>
    <w:qFormat/>
    <w:pPr>
      <w:ind w:hanging="0" w:start="2520" w:end="0"/>
      <w:jc w:val="both"/>
    </w:pPr>
    <w:rPr>
      <w:color w:val="0000FF"/>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2001-11-02T12:47:00Z</dcterms:created>
  <dc:creator>Glenda B Wagner</dc:creator>
  <dc:description/>
  <dc:language>en-CA</dc:language>
  <cp:lastModifiedBy>lgleffe</cp:lastModifiedBy>
  <cp:lastPrinted>1997-10-03T08:27:00Z</cp:lastPrinted>
  <dcterms:modified xsi:type="dcterms:W3CDTF">2001-11-02T15:50:00Z</dcterms:modified>
  <cp:revision>13</cp:revision>
  <dc:subject/>
  <dc:title>FILE REVIEW </dc:title>
</cp:coreProperties>
</file>