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AUGUST 31, 2000</w:t>
            </w:r>
          </w:p>
          <w:p>
            <w:pPr>
              <w:pStyle w:val="Normal"/>
              <w:tabs>
                <w:tab w:val="clear" w:pos="720"/>
                <w:tab w:val="left" w:pos="1530" w:leader="none"/>
              </w:tabs>
              <w:spacing w:before="0" w:after="120"/>
              <w:rPr/>
            </w:pPr>
            <w:r>
              <w:rPr/>
              <w:t>Enron person completing this form:  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ing1"/>
              <w:ind w:hanging="0" w:start="0" w:end="-216"/>
              <w:rPr>
                <w:b w:val="false"/>
              </w:rPr>
            </w:pPr>
            <w:r>
              <w:rPr>
                <w:b w:val="false"/>
              </w:rPr>
              <w:t>Queen Sand Resources, Inc. (“QSR”) is an independent energy company engaged in the acquisition, development, exploitation and operation of crude oil and natural gas properties in the United States, primarily in Texas, New Mexico and Louisiana. QSR’s philosophy is based upon the acquisition and development/exploitation of proved reserves.  Since QSR’s inception, it has focused primarily on the acquisition of Proved Developed Producing (“PDP”) and Proved Undeveloped (“PUD”) reserves. QSR became a public company in 8/95.</w:t>
            </w:r>
          </w:p>
          <w:p>
            <w:pPr>
              <w:pStyle w:val="Heading1"/>
              <w:ind w:hanging="0" w:start="0" w:end="-216"/>
              <w:rPr>
                <w:rFonts w:ascii="Arial" w:hAnsi="Arial" w:cs="Arial"/>
                <w:b w:val="false"/>
                <w:color w:val="000000"/>
                <w:sz w:val="18"/>
                <w:lang w:eastAsia="en-US"/>
              </w:rPr>
            </w:pPr>
            <w:r>
              <w:rPr>
                <w:rFonts w:cs="Arial" w:ascii="Arial" w:hAnsi="Arial"/>
                <w:b w:val="false"/>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Queen Sand Resources, Inc.</w:t>
      </w:r>
    </w:p>
    <w:p>
      <w:pPr>
        <w:pStyle w:val="Normal"/>
        <w:pBdr>
          <w:top w:val="single" w:sz="12" w:space="1" w:color="000000"/>
          <w:bottom w:val="single" w:sz="12" w:space="1" w:color="000000"/>
        </w:pBdr>
        <w:rPr/>
      </w:pPr>
      <w:r>
        <w:rPr>
          <w:b/>
        </w:rPr>
        <w:t xml:space="preserve">TICKER SYMBOL: </w:t>
      </w:r>
      <w:r>
        <w:rPr/>
        <w:t>QSRI</w:t>
      </w:r>
    </w:p>
    <w:p>
      <w:pPr>
        <w:pStyle w:val="Normal"/>
        <w:pBdr>
          <w:top w:val="single" w:sz="12" w:space="1" w:color="000000"/>
          <w:bottom w:val="single" w:sz="12" w:space="1" w:color="000000"/>
        </w:pBdr>
        <w:rPr/>
      </w:pPr>
      <w:r>
        <w:rPr>
          <w:b/>
        </w:rPr>
        <w:t xml:space="preserve">TYPE OF STOCK: </w:t>
      </w:r>
      <w:r>
        <w:rPr/>
        <w:t>Series A Convertible Preferred Stock (Conversion Ratio of 1:1)</w:t>
      </w:r>
    </w:p>
    <w:p>
      <w:pPr>
        <w:pStyle w:val="Normal"/>
        <w:pBdr>
          <w:top w:val="single" w:sz="12" w:space="1" w:color="000000"/>
          <w:bottom w:val="single" w:sz="12" w:space="1" w:color="000000"/>
        </w:pBdr>
        <w:rPr/>
      </w:pPr>
      <w:r>
        <w:rPr>
          <w:b/>
        </w:rPr>
        <w:t xml:space="preserve">TRADING EXCHANGE: </w:t>
      </w:r>
      <w:r>
        <w:rPr/>
        <w:t xml:space="preserve">NASDAQ </w:t>
      </w:r>
    </w:p>
    <w:p>
      <w:pPr>
        <w:pStyle w:val="Normal"/>
        <w:pBdr>
          <w:top w:val="single" w:sz="12" w:space="1" w:color="000000"/>
          <w:bottom w:val="single" w:sz="12" w:space="1" w:color="000000"/>
        </w:pBdr>
        <w:rPr>
          <w:b/>
        </w:rPr>
      </w:pPr>
      <w:r>
        <w:rPr>
          <w:b/>
        </w:rPr>
        <w:t xml:space="preserve">STRIKE PRICE: </w:t>
      </w:r>
      <w:r>
        <w:rPr/>
        <w:t>$0.09</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ab/>
        <w:t xml:space="preserve"> NET – </w:t>
      </w:r>
      <w:r>
        <w:rPr/>
        <w:t>5,760,000 shares</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Normal"/>
        <w:rPr/>
      </w:pPr>
      <w:r>
        <w:rPr/>
      </w:r>
    </w:p>
    <w:p>
      <w:pPr>
        <w:pStyle w:val="Header"/>
        <w:widowControl/>
        <w:tabs>
          <w:tab w:val="clear" w:pos="4320"/>
          <w:tab w:val="clear" w:pos="8640"/>
        </w:tabs>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/mnt/main-storage/datasets/enron-docs/doc/Queen_Sands_Convertible_pf.doc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/mnt/main-storage/datasets/enron-docs/doc/Queen_Sands_Convertible_pf.doc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2000-08-31T16:41:00Z</dcterms:created>
  <dc:creator>mruane</dc:creator>
  <dc:description>MR: 9-20-99 added tax signoff</dc:description>
  <dc:language>en-CA</dc:language>
  <cp:lastModifiedBy>brian schwertner</cp:lastModifiedBy>
  <cp:lastPrinted>2000-08-31T14:16:00Z</cp:lastPrinted>
  <dcterms:modified xsi:type="dcterms:W3CDTF">2000-09-01T18:49:00Z</dcterms:modified>
  <cp:revision>5</cp:revision>
  <dc:subject/>
  <dc:title>ENRON RISK ASSESSMENT AND CONTROL</dc:title>
</cp:coreProperties>
</file>