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40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90"/>
        <w:gridCol w:w="1440"/>
        <w:gridCol w:w="1710"/>
        <w:gridCol w:w="1350"/>
        <w:gridCol w:w="1170"/>
        <w:gridCol w:w="1170"/>
        <w:gridCol w:w="1170"/>
        <w:gridCol w:w="990"/>
        <w:gridCol w:w="1170"/>
        <w:gridCol w:w="1440"/>
      </w:tblGrid>
      <w:tr>
        <w:trPr>
          <w:trHeight w:val="240" w:hRule="atLeast"/>
        </w:trPr>
        <w:tc>
          <w:tcPr>
            <w:tcW w:w="14400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</w:rPr>
              <w:t>4</w:t>
            </w:r>
            <w:r>
              <w:rPr>
                <w:rFonts w:cs="Arial" w:ascii="Arial" w:hAnsi="Arial"/>
                <w:b/>
                <w:vertAlign w:val="superscript"/>
              </w:rPr>
              <w:t>th</w:t>
            </w:r>
            <w:r>
              <w:rPr>
                <w:rFonts w:cs="Arial" w:ascii="Arial" w:hAnsi="Arial"/>
                <w:b/>
              </w:rPr>
              <w:t xml:space="preserve"> Qtr. Close</w:t>
            </w:r>
          </w:p>
          <w:p>
            <w:pPr>
              <w:pStyle w:val="Normal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</w:tr>
      <w:tr>
        <w:trPr>
          <w:trHeight w:val="746" w:hRule="atLeast"/>
        </w:trPr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Commercial Person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Global Finance Attorney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(Specialist)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*Business Unit or Other Attorney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Enron Outside Counsel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* Bank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(Counsel)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Corp. Board Approval Req.?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Corp. Opinion Req.?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*Swap Involved?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*Est. Completion Date</w:t>
            </w:r>
          </w:p>
        </w:tc>
      </w:tr>
    </w:tbl>
    <w:p>
      <w:pPr>
        <w:pStyle w:val="Heading1"/>
        <w:ind w:hanging="0" w:start="0"/>
        <w:jc w:val="start"/>
        <w:rPr/>
      </w:pPr>
      <w:r>
        <w:rPr/>
        <w:t>Global Finance</w:t>
      </w:r>
    </w:p>
    <w:tbl>
      <w:tblPr>
        <w:tblW w:w="1440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90"/>
        <w:gridCol w:w="1440"/>
        <w:gridCol w:w="1710"/>
        <w:gridCol w:w="1350"/>
        <w:gridCol w:w="1170"/>
        <w:gridCol w:w="1170"/>
        <w:gridCol w:w="1170"/>
        <w:gridCol w:w="990"/>
        <w:gridCol w:w="1170"/>
        <w:gridCol w:w="1440"/>
      </w:tblGrid>
      <w:tr>
        <w:trPr>
          <w:trHeight w:val="240" w:hRule="atLeast"/>
        </w:trPr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Osprey</w:t>
            </w:r>
            <w:r>
              <w:rPr>
                <w:rFonts w:cs="Arial" w:ascii="Arial" w:hAnsi="Arial"/>
              </w:rPr>
              <w:t>-Follow on offering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D. Boyle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Chin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(R. Astin)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Closed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40" w:hRule="atLeast"/>
        </w:trPr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Margaux</w:t>
            </w:r>
            <w:r>
              <w:rPr>
                <w:rFonts w:cs="Arial" w:ascii="Arial" w:hAnsi="Arial"/>
              </w:rPr>
              <w:t xml:space="preserve"> - $132MM prepayment of fixed swap leg and related $11MM Whitewing capital contribution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G. McKillop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Dobin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Closed</w:t>
            </w:r>
          </w:p>
        </w:tc>
      </w:tr>
      <w:tr>
        <w:trPr>
          <w:trHeight w:val="240" w:hRule="atLeast"/>
        </w:trPr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JEDI I</w:t>
            </w:r>
            <w:r>
              <w:rPr>
                <w:rFonts w:cs="Arial" w:ascii="Arial" w:hAnsi="Arial"/>
              </w:rPr>
              <w:t xml:space="preserve"> – Extend SPV loan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G. McKean/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S. Hudler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(V. Moreland)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Completed</w:t>
            </w:r>
          </w:p>
        </w:tc>
      </w:tr>
      <w:tr>
        <w:trPr>
          <w:trHeight w:val="240" w:hRule="atLeast"/>
        </w:trPr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u w:val="single"/>
              </w:rPr>
            </w:pPr>
            <w:r>
              <w:rPr>
                <w:rFonts w:cs="Arial" w:ascii="Arial" w:hAnsi="Arial"/>
                <w:u w:val="single"/>
              </w:rPr>
              <w:t xml:space="preserve">Hawaii Term Out </w:t>
            </w:r>
            <w:r>
              <w:rPr>
                <w:rFonts w:cs="Arial" w:ascii="Arial" w:hAnsi="Arial"/>
              </w:rPr>
              <w:t>– Creation of a long term Hawaii facility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DeLacey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(D. Barbour)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CIBC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(Sidley &amp; Austin)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(11/15)</w:t>
            </w:r>
          </w:p>
        </w:tc>
      </w:tr>
      <w:tr>
        <w:trPr>
          <w:trHeight w:val="240" w:hRule="atLeast"/>
        </w:trPr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CIBC</w:t>
            </w:r>
            <w:r>
              <w:rPr>
                <w:rFonts w:cs="Arial" w:ascii="Arial" w:hAnsi="Arial"/>
              </w:rPr>
              <w:t xml:space="preserve"> – $250MM sale into existing structure of Enron entity receivables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DeSpain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Freeland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Dobin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None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(T. Yates)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CIBC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(Sidley &amp; Austin)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4</w:t>
            </w:r>
            <w:r>
              <w:rPr>
                <w:rFonts w:cs="Arial" w:ascii="Arial" w:hAnsi="Arial"/>
                <w:vertAlign w:val="superscript"/>
              </w:rPr>
              <w:t>th</w:t>
            </w:r>
            <w:r>
              <w:rPr>
                <w:rFonts w:cs="Arial" w:ascii="Arial" w:hAnsi="Arial"/>
              </w:rPr>
              <w:t xml:space="preserve"> qtr.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(11/21)</w:t>
            </w:r>
          </w:p>
        </w:tc>
      </w:tr>
      <w:tr>
        <w:trPr>
          <w:trHeight w:val="240" w:hRule="atLeast"/>
        </w:trPr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start"/>
              <w:rPr/>
            </w:pPr>
            <w:r>
              <w:rPr/>
              <w:t>Europe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P.Chivers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G. McKillop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Engeldorf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West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Chapman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Uria &amp; Menendez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Closed</w:t>
            </w:r>
          </w:p>
        </w:tc>
      </w:tr>
      <w:tr>
        <w:trPr>
          <w:trHeight w:val="240" w:hRule="atLeast"/>
        </w:trPr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Arcos</w:t>
            </w:r>
            <w:r>
              <w:rPr>
                <w:rFonts w:cs="Arial" w:ascii="Arial" w:hAnsi="Arial"/>
              </w:rPr>
              <w:t xml:space="preserve"> – Financing of Spanish power project through Condor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M. Von Bock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Slaughter &amp; May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(Sanjev wks)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Closed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240" w:hRule="atLeast"/>
        </w:trPr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Magpie</w:t>
            </w:r>
            <w:r>
              <w:rPr>
                <w:rFonts w:cs="Arial" w:ascii="Arial" w:hAnsi="Arial"/>
              </w:rPr>
              <w:t xml:space="preserve"> -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P. Chivers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Bahlmann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M. Von Bock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ind w:hanging="0" w:start="0"/>
        <w:jc w:val="start"/>
        <w:rPr/>
      </w:pPr>
      <w:r>
        <w:rPr/>
        <w:t>EES</w:t>
      </w:r>
    </w:p>
    <w:tbl>
      <w:tblPr>
        <w:tblW w:w="1440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90"/>
        <w:gridCol w:w="1440"/>
        <w:gridCol w:w="1710"/>
        <w:gridCol w:w="1350"/>
        <w:gridCol w:w="1170"/>
        <w:gridCol w:w="1170"/>
        <w:gridCol w:w="1170"/>
        <w:gridCol w:w="990"/>
        <w:gridCol w:w="1170"/>
        <w:gridCol w:w="1440"/>
      </w:tblGrid>
      <w:tr>
        <w:trPr>
          <w:trHeight w:val="240" w:hRule="atLeast"/>
        </w:trPr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Raptor III</w:t>
            </w:r>
            <w:r>
              <w:rPr>
                <w:rFonts w:cs="Arial" w:ascii="Arial" w:hAnsi="Arial"/>
              </w:rPr>
              <w:t xml:space="preserve"> – Sale of TNPC warrants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T. Patel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Ephross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(Funk)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R. Eickenroth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V&amp;E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(A. Curry)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Closed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>South America</w:t>
      </w:r>
    </w:p>
    <w:tbl>
      <w:tblPr>
        <w:tblW w:w="1431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0"/>
        <w:gridCol w:w="1440"/>
        <w:gridCol w:w="1710"/>
        <w:gridCol w:w="1350"/>
        <w:gridCol w:w="1170"/>
        <w:gridCol w:w="1170"/>
        <w:gridCol w:w="1170"/>
        <w:gridCol w:w="990"/>
        <w:gridCol w:w="1170"/>
        <w:gridCol w:w="1440"/>
      </w:tblGrid>
      <w:tr>
        <w:trPr>
          <w:trHeight w:val="24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u w:val="single"/>
              </w:rPr>
              <w:t>SA Turbine RioGen</w:t>
            </w:r>
            <w:r>
              <w:rPr>
                <w:rFonts w:cs="Arial" w:ascii="Arial" w:hAnsi="Arial"/>
              </w:rPr>
              <w:t xml:space="preserve"> – Construction financing for South American Rio Gen project (Elektrobolt and RioGen)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R. Gay/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C. Lipshutz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Engeldorf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Brennig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(Karathanos)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J. Novak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A&amp;K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(R. Taylor)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(obtained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 part)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1</w:t>
            </w:r>
            <w:r>
              <w:rPr>
                <w:rFonts w:cs="Arial" w:ascii="Arial" w:hAnsi="Arial"/>
                <w:vertAlign w:val="superscript"/>
              </w:rPr>
              <w:t>st</w:t>
            </w:r>
            <w:r>
              <w:rPr>
                <w:rFonts w:cs="Arial" w:ascii="Arial" w:hAnsi="Arial"/>
              </w:rPr>
              <w:t xml:space="preserve"> Close – 11/10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</w:rPr>
              <w:t>2</w:t>
            </w:r>
            <w:r>
              <w:rPr>
                <w:rFonts w:cs="Arial" w:ascii="Arial" w:hAnsi="Arial"/>
                <w:vertAlign w:val="superscript"/>
              </w:rPr>
              <w:t>nd</w:t>
            </w:r>
            <w:r>
              <w:rPr>
                <w:rFonts w:cs="Arial" w:ascii="Arial" w:hAnsi="Arial"/>
              </w:rPr>
              <w:t xml:space="preserve"> close for turbines expected by 11/30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900" w:right="720" w:gutter="0" w:header="720" w:top="1800" w:footer="42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22"/>
      </w:rPr>
    </w:pPr>
    <w:r>
      <w:rPr>
        <w:rFonts w:cs="Arial" w:ascii="Arial" w:hAnsi="Arial"/>
        <w:sz w:val="22"/>
      </w:rPr>
      <w:t>*  Y = Yes; N = No; U = Uncertain</w:t>
    </w:r>
  </w:p>
  <w:p>
    <w:pPr>
      <w:pStyle w:val="Footer"/>
      <w:rPr>
        <w:rFonts w:ascii="Arial" w:hAnsi="Arial" w:cs="Arial"/>
        <w:sz w:val="22"/>
      </w:rPr>
    </w:pPr>
    <w:r>
      <w:rPr>
        <w:rFonts w:cs="Arial" w:ascii="Arial" w:hAnsi="Arial"/>
        <w:sz w:val="2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rFonts w:ascii="Arial" w:hAnsi="Arial" w:cs="Arial"/>
        <w:b/>
        <w:i/>
        <w:i/>
        <w:sz w:val="22"/>
      </w:rPr>
    </w:pPr>
    <w:r>
      <w:rPr>
        <w:rFonts w:cs="Arial" w:ascii="Arial" w:hAnsi="Arial"/>
        <w:b/>
        <w:i/>
        <w:sz w:val="22"/>
      </w:rPr>
      <w:t>CONFIDENTIAL</w:t>
    </w:r>
  </w:p>
  <w:p>
    <w:pPr>
      <w:pStyle w:val="Header"/>
      <w:jc w:val="end"/>
      <w:rPr>
        <w:rFonts w:ascii="Arial" w:hAnsi="Arial" w:cs="Arial"/>
        <w:b/>
        <w:i/>
        <w:i/>
        <w:sz w:val="22"/>
      </w:rPr>
    </w:pPr>
    <w:r>
      <w:rPr>
        <w:rFonts w:cs="Arial" w:ascii="Arial" w:hAnsi="Arial"/>
        <w:b/>
        <w:i/>
        <w:sz w:val="22"/>
      </w:rPr>
      <w:t>&amp; PRIVILEGED</w:t>
    </w:r>
  </w:p>
  <w:p>
    <w:pPr>
      <w:pStyle w:val="Header"/>
      <w:jc w:val="center"/>
      <w:rPr>
        <w:rFonts w:ascii="Arial" w:hAnsi="Arial" w:cs="Arial"/>
        <w:sz w:val="24"/>
      </w:rPr>
    </w:pPr>
    <w:r>
      <w:rPr>
        <w:rFonts w:cs="Arial" w:ascii="Arial" w:hAnsi="Arial"/>
        <w:b/>
        <w:sz w:val="24"/>
      </w:rPr>
      <w:t>GLOBAL FINANCE LEGAL</w:t>
    </w:r>
  </w:p>
  <w:p>
    <w:pPr>
      <w:pStyle w:val="Header"/>
      <w:jc w:val="center"/>
      <w:rPr/>
    </w:pPr>
    <w:r>
      <w:rPr>
        <w:rFonts w:cs="Arial" w:ascii="Arial" w:hAnsi="Arial"/>
        <w:sz w:val="24"/>
      </w:rPr>
      <w:t>TRANSACTIONS CLOSED 4</w:t>
    </w:r>
    <w:r>
      <w:rPr>
        <w:rFonts w:cs="Arial" w:ascii="Arial" w:hAnsi="Arial"/>
        <w:sz w:val="24"/>
        <w:vertAlign w:val="superscript"/>
      </w:rPr>
      <w:t>th</w:t>
    </w:r>
    <w:r>
      <w:rPr>
        <w:rFonts w:cs="Arial" w:ascii="Arial" w:hAnsi="Arial"/>
        <w:sz w:val="24"/>
      </w:rPr>
      <w:t xml:space="preserve"> QUARTER, 2000</w:t>
    </w:r>
  </w:p>
  <w:p>
    <w:pPr>
      <w:pStyle w:val="Header"/>
      <w:jc w:val="center"/>
      <w:rPr>
        <w:rFonts w:ascii="Arial" w:hAnsi="Arial" w:cs="Arial"/>
        <w:sz w:val="24"/>
      </w:rPr>
    </w:pPr>
    <w:r>
      <w:rPr>
        <w:rFonts w:cs="Arial" w:ascii="Arial" w:hAnsi="Arial"/>
        <w:sz w:val="24"/>
      </w:rPr>
    </w:r>
  </w:p>
  <w:p>
    <w:pPr>
      <w:pStyle w:val="Header"/>
      <w:jc w:val="center"/>
      <w:rPr>
        <w:rFonts w:ascii="Arial" w:hAnsi="Arial" w:cs="Arial"/>
        <w:sz w:val="24"/>
      </w:rPr>
    </w:pPr>
    <w:r>
      <w:rPr>
        <w:rFonts w:cs="Arial" w:ascii="Arial" w:hAnsi="Arial"/>
        <w:sz w:val="24"/>
      </w:rPr>
      <w:t>November 22, 2000</w:t>
    </w:r>
  </w:p>
  <w:p>
    <w:pPr>
      <w:pStyle w:val="Header"/>
      <w:rPr>
        <w:rFonts w:ascii="Arial" w:hAnsi="Arial" w:cs="Arial"/>
        <w:sz w:val="24"/>
      </w:rPr>
    </w:pPr>
    <w:r>
      <w:rPr>
        <w:rFonts w:cs="Arial" w:ascii="Arial" w:hAnsi="Arial"/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2538" w:leader="none"/>
        <w:tab w:val="left" w:pos="3978" w:leader="none"/>
        <w:tab w:val="left" w:pos="5688" w:leader="none"/>
        <w:tab w:val="left" w:pos="7038" w:leader="none"/>
        <w:tab w:val="left" w:pos="8208" w:leader="none"/>
        <w:tab w:val="left" w:pos="9378" w:leader="none"/>
        <w:tab w:val="left" w:pos="10548" w:leader="none"/>
        <w:tab w:val="left" w:pos="11538" w:leader="none"/>
        <w:tab w:val="left" w:pos="12708" w:leader="none"/>
        <w:tab w:val="left" w:pos="14058" w:leader="none"/>
      </w:tabs>
      <w:ind w:hanging="0" w:start="-252" w:end="0"/>
      <w:outlineLvl w:val="3"/>
    </w:pPr>
    <w:rPr>
      <w:u w:val="single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2000-11-03T13:26:00Z</dcterms:created>
  <dc:creator>jdorsey</dc:creator>
  <dc:description/>
  <dc:language>en-CA</dc:language>
  <cp:lastModifiedBy>dforsyt</cp:lastModifiedBy>
  <cp:lastPrinted>2000-11-15T15:45:00Z</cp:lastPrinted>
  <dcterms:modified xsi:type="dcterms:W3CDTF">2000-11-22T17:42:00Z</dcterms:modified>
  <cp:revision>29</cp:revision>
  <dc:subject/>
  <dc:title>DEALS CLOSED 2ND QUARTER</dc:title>
</cp:coreProperties>
</file>