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620"/>
        <w:gridCol w:w="1620"/>
        <w:gridCol w:w="1350"/>
        <w:gridCol w:w="1260"/>
        <w:gridCol w:w="1350"/>
        <w:gridCol w:w="1080"/>
        <w:gridCol w:w="900"/>
        <w:gridCol w:w="1260"/>
        <w:gridCol w:w="1350"/>
      </w:tblGrid>
      <w:tr>
        <w:trPr>
          <w:trHeight w:val="746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Outside Counsel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 Bank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Corp. Opinion Req.?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</w:tbl>
    <w:p>
      <w:pPr>
        <w:pStyle w:val="Caption"/>
        <w:rPr/>
      </w:pPr>
      <w:r>
        <w:rPr/>
        <w:t>Global Finance</w:t>
      </w:r>
    </w:p>
    <w:tbl>
      <w:tblPr>
        <w:tblW w:w="1449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620"/>
        <w:gridCol w:w="1620"/>
        <w:gridCol w:w="1350"/>
        <w:gridCol w:w="1260"/>
        <w:gridCol w:w="1350"/>
        <w:gridCol w:w="1080"/>
        <w:gridCol w:w="900"/>
        <w:gridCol w:w="1260"/>
        <w:gridCol w:w="1350"/>
      </w:tblGrid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Osprey</w:t>
            </w:r>
            <w:r>
              <w:rPr>
                <w:rFonts w:cs="Arial" w:ascii="Arial" w:hAnsi="Arial"/>
              </w:rPr>
              <w:t>-Follow on offering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Margaux</w:t>
            </w:r>
            <w:r>
              <w:rPr>
                <w:rFonts w:cs="Arial" w:ascii="Arial" w:hAnsi="Arial"/>
              </w:rPr>
              <w:t xml:space="preserve"> - $132MM prepayment of fixed swap leg and related $11MM Whitewing capital contribution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JEDI I</w:t>
            </w:r>
            <w:r>
              <w:rPr>
                <w:rFonts w:cs="Arial" w:ascii="Arial" w:hAnsi="Arial"/>
              </w:rPr>
              <w:t xml:space="preserve"> – Extend SPV loan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Hudler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(V. Moreland)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 xml:space="preserve">Hawaii Term Out </w:t>
            </w:r>
            <w:r>
              <w:rPr>
                <w:rFonts w:cs="Arial" w:ascii="Arial" w:hAnsi="Arial"/>
              </w:rPr>
              <w:t>– Creation of a long term Hawaii facility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(Sidley &amp; Austin)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(11/15)</w:t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EOG</w:t>
            </w:r>
            <w:r>
              <w:rPr>
                <w:rFonts w:cs="Arial" w:ascii="Arial" w:hAnsi="Arial"/>
              </w:rPr>
              <w:t xml:space="preserve"> – Monetization of EOG Stock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Eickenroth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(Mayer, Brown)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(11/29)</w:t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CIBC</w:t>
            </w:r>
            <w:r>
              <w:rPr>
                <w:rFonts w:cs="Arial" w:ascii="Arial" w:hAnsi="Arial"/>
              </w:rPr>
              <w:t xml:space="preserve"> – $250MM sale into existing structure of Enron entity receivables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(Sidley &amp; Austin)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(11/21)</w:t>
            </w:r>
          </w:p>
        </w:tc>
      </w:tr>
    </w:tbl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Europe</w:t>
      </w:r>
    </w:p>
    <w:tbl>
      <w:tblPr>
        <w:tblW w:w="1449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620"/>
        <w:gridCol w:w="1620"/>
        <w:gridCol w:w="1350"/>
        <w:gridCol w:w="1260"/>
        <w:gridCol w:w="1350"/>
        <w:gridCol w:w="1080"/>
        <w:gridCol w:w="900"/>
        <w:gridCol w:w="1260"/>
        <w:gridCol w:w="1350"/>
      </w:tblGrid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Europe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P.Chivers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Chapman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Uria &amp; Menendez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Arcos</w:t>
            </w:r>
            <w:r>
              <w:rPr>
                <w:rFonts w:cs="Arial" w:ascii="Arial" w:hAnsi="Arial"/>
              </w:rPr>
              <w:t xml:space="preserve"> – Financing of Spanish power project through Condor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Von Bock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Slaughter &amp; May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(Sanjev wks)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Magpie</w:t>
            </w:r>
            <w:r>
              <w:rPr>
                <w:rFonts w:cs="Arial" w:ascii="Arial" w:hAnsi="Arial"/>
              </w:rPr>
              <w:t xml:space="preserve"> - ETOL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 Chivers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Von Bock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</w:tbl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EES</w:t>
      </w:r>
    </w:p>
    <w:tbl>
      <w:tblPr>
        <w:tblW w:w="1449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620"/>
        <w:gridCol w:w="1620"/>
        <w:gridCol w:w="1350"/>
        <w:gridCol w:w="1260"/>
        <w:gridCol w:w="1350"/>
        <w:gridCol w:w="1080"/>
        <w:gridCol w:w="900"/>
        <w:gridCol w:w="1260"/>
        <w:gridCol w:w="1350"/>
      </w:tblGrid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Raptor III</w:t>
            </w:r>
            <w:r>
              <w:rPr>
                <w:rFonts w:cs="Arial" w:ascii="Arial" w:hAnsi="Arial"/>
              </w:rPr>
              <w:t xml:space="preserve"> – Sale of TNPC warrants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Eickenroth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(A. Curry)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</w:tbl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South America</w:t>
      </w:r>
    </w:p>
    <w:tbl>
      <w:tblPr>
        <w:tblW w:w="1449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620"/>
        <w:gridCol w:w="1620"/>
        <w:gridCol w:w="1350"/>
        <w:gridCol w:w="1260"/>
        <w:gridCol w:w="1350"/>
        <w:gridCol w:w="1080"/>
        <w:gridCol w:w="900"/>
        <w:gridCol w:w="1260"/>
        <w:gridCol w:w="1350"/>
      </w:tblGrid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SA Turbine RioGen</w:t>
            </w:r>
            <w:r>
              <w:rPr>
                <w:rFonts w:cs="Arial" w:ascii="Arial" w:hAnsi="Arial"/>
              </w:rPr>
              <w:t xml:space="preserve"> – Construction financing for South American Rio Gen project (Elektrobolt and RioGen)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Gay/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Lipshutz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Novak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(obtained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part)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Closed – 11/10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close for turbines expected by 12/13</w:t>
            </w:r>
          </w:p>
        </w:tc>
      </w:tr>
    </w:tbl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Tax</w:t>
      </w:r>
    </w:p>
    <w:tbl>
      <w:tblPr>
        <w:tblW w:w="1449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620"/>
        <w:gridCol w:w="1620"/>
        <w:gridCol w:w="1350"/>
        <w:gridCol w:w="1260"/>
        <w:gridCol w:w="1350"/>
        <w:gridCol w:w="1080"/>
        <w:gridCol w:w="900"/>
        <w:gridCol w:w="1260"/>
        <w:gridCol w:w="1350"/>
      </w:tblGrid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Tammy</w:t>
            </w:r>
            <w:r>
              <w:rPr>
                <w:rFonts w:cs="Arial" w:ascii="Arial" w:hAnsi="Arial"/>
              </w:rPr>
              <w:t xml:space="preserve"> – Tax structured minority interest financing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Mintz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R. Eickenroht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E. Osterberg)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Chase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(Freshfields)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11/28</w:t>
            </w:r>
          </w:p>
        </w:tc>
      </w:tr>
    </w:tbl>
    <w:p>
      <w:pPr>
        <w:pStyle w:val="Normal"/>
        <w:rPr>
          <w:u w:val="single"/>
        </w:rPr>
      </w:pPr>
      <w:r>
        <w:rPr>
          <w:u w:val="single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907" w:right="720" w:gutter="0" w:header="720" w:top="1800" w:footer="418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  <w:t>*  Y = Yes; N = No; U = Uncertain</w:t>
    </w:r>
  </w:p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CONFIDENTIAL</w:t>
    </w:r>
  </w:p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&amp; PRIVILEGED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b/>
        <w:sz w:val="24"/>
      </w:rPr>
      <w:t>GLOBAL FINANCE LEGAL</w:t>
    </w:r>
  </w:p>
  <w:p>
    <w:pPr>
      <w:pStyle w:val="Header"/>
      <w:jc w:val="center"/>
      <w:rPr/>
    </w:pPr>
    <w:r>
      <w:rPr>
        <w:rFonts w:cs="Arial" w:ascii="Arial" w:hAnsi="Arial"/>
        <w:sz w:val="24"/>
      </w:rPr>
      <w:t>TRANSACTIONS CLOSED 4</w:t>
    </w:r>
    <w:r>
      <w:rPr>
        <w:rFonts w:cs="Arial" w:ascii="Arial" w:hAnsi="Arial"/>
        <w:sz w:val="24"/>
        <w:vertAlign w:val="superscript"/>
      </w:rPr>
      <w:t>th</w:t>
    </w:r>
    <w:r>
      <w:rPr>
        <w:rFonts w:cs="Arial" w:ascii="Arial" w:hAnsi="Arial"/>
        <w:sz w:val="24"/>
      </w:rPr>
      <w:t xml:space="preserve"> QUARTER, 2000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December 6, 2000</w:t>
    </w:r>
  </w:p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38" w:leader="none"/>
        <w:tab w:val="left" w:pos="3978" w:leader="none"/>
        <w:tab w:val="left" w:pos="5688" w:leader="none"/>
        <w:tab w:val="left" w:pos="7038" w:leader="none"/>
        <w:tab w:val="left" w:pos="8208" w:leader="none"/>
        <w:tab w:val="left" w:pos="9378" w:leader="none"/>
        <w:tab w:val="left" w:pos="10548" w:leader="none"/>
        <w:tab w:val="left" w:pos="11538" w:leader="none"/>
        <w:tab w:val="left" w:pos="12708" w:leader="none"/>
        <w:tab w:val="left" w:pos="14058" w:leader="none"/>
      </w:tabs>
      <w:ind w:hanging="0" w:start="-252" w:end="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Arial" w:hAnsi="Arial" w:cs="Arial"/>
      <w:b/>
      <w:bCs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2000-11-29T22:48:00Z</dcterms:created>
  <dc:creator>jdorsey</dc:creator>
  <dc:description/>
  <dc:language>en-CA</dc:language>
  <cp:lastModifiedBy>dforsyt</cp:lastModifiedBy>
  <cp:lastPrinted>2000-12-06T17:01:00Z</cp:lastPrinted>
  <dcterms:modified xsi:type="dcterms:W3CDTF">2000-12-06T22:59:00Z</dcterms:modified>
  <cp:revision>13</cp:revision>
  <dc:subject/>
  <dc:title>DEALS CLOSED 2ND QUARTER</dc:title>
</cp:coreProperties>
</file>