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i/>
          <w:i/>
          <w:sz w:val="24"/>
        </w:rPr>
      </w:pPr>
      <w:r>
        <w:rPr>
          <w:i/>
          <w:sz w:val="24"/>
        </w:rPr>
        <w:t>Internal use only</w:t>
      </w:r>
    </w:p>
    <w:p>
      <w:pPr>
        <w:pStyle w:val="Normal"/>
        <w:jc w:val="both"/>
        <w:rPr>
          <w:rFonts w:ascii="Arial" w:hAnsi="Arial" w:cs="Arial"/>
          <w:b/>
          <w:i/>
          <w:i/>
          <w:sz w:val="28"/>
        </w:rPr>
      </w:pPr>
      <w:r>
        <w:rPr>
          <w:rFonts w:cs="Arial" w:ascii="Arial" w:hAnsi="Arial"/>
          <w:b/>
          <w:i/>
          <w:sz w:val="28"/>
        </w:rPr>
      </w:r>
    </w:p>
    <w:p>
      <w:pPr>
        <w:pStyle w:val="Normal"/>
        <w:jc w:val="both"/>
        <w:rPr>
          <w:rFonts w:ascii="Arial" w:hAnsi="Arial" w:cs="Arial"/>
          <w:b/>
          <w:sz w:val="28"/>
        </w:rPr>
      </w:pPr>
      <w:r>
        <w:rPr>
          <w:rFonts w:cs="Arial" w:ascii="Arial" w:hAnsi="Arial"/>
          <w:b/>
          <w:sz w:val="28"/>
        </w:rPr>
        <w:t xml:space="preserve">Q&amp;A </w:t>
      </w:r>
    </w:p>
    <w:p>
      <w:pPr>
        <w:pStyle w:val="Heading3"/>
        <w:ind w:hanging="0" w:start="0"/>
        <w:jc w:val="both"/>
        <w:rPr>
          <w:sz w:val="28"/>
        </w:rPr>
      </w:pPr>
      <w:r>
        <w:rPr>
          <w:sz w:val="28"/>
        </w:rPr>
        <w:t>EnronCredit.com</w:t>
      </w:r>
    </w:p>
    <w:p>
      <w:pPr>
        <w:pStyle w:val="Heading2"/>
        <w:ind w:hanging="0" w:start="0"/>
        <w:jc w:val="both"/>
        <w:rPr/>
      </w:pPr>
      <w:r>
        <w:rPr/>
        <w:t>February 2000</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Q1. What is EnronCredit.com?</w:t>
      </w:r>
    </w:p>
    <w:p>
      <w:pPr>
        <w:pStyle w:val="BodyText2"/>
        <w:jc w:val="both"/>
        <w:rPr/>
      </w:pPr>
      <w:r>
        <w:rPr/>
        <w:t xml:space="preserve">EnronCredit.com is the first real-time, transparent, two-way credit pricing pricing tool for corporates.  It helps customers protect themselves against adverse third-party credit events such as bankruptcy.  Corporations will be able to transact in bankruptcy swaps via EnronOnline, Enron’s global Internet-based transaction system, 24 hours a day, from 8 March 2000.  </w:t>
      </w:r>
    </w:p>
    <w:p>
      <w:pPr>
        <w:pStyle w:val="BodyText2"/>
        <w:jc w:val="both"/>
        <w:rPr/>
      </w:pPr>
      <w:r>
        <w:rPr/>
      </w:r>
    </w:p>
    <w:p>
      <w:pPr>
        <w:pStyle w:val="BodyText2"/>
        <w:jc w:val="both"/>
        <w:rPr>
          <w:b/>
        </w:rPr>
      </w:pPr>
      <w:r>
        <w:rPr>
          <w:b/>
        </w:rPr>
        <w:t>Q2. Why can’t customers transact already via EnronOnline?</w:t>
      </w:r>
    </w:p>
    <w:p>
      <w:pPr>
        <w:pStyle w:val="BodyText2"/>
        <w:jc w:val="both"/>
        <w:rPr/>
      </w:pPr>
      <w:r>
        <w:rPr/>
        <w:t xml:space="preserve">The main purpose of EnronCredit.com is to help customers manage their credit risk by providing real time transparent, two-way credit pricing.  We are currently in the final technical stage of making EnronOnline available so customers can do the actual transaction in credit risk online. If, however, customers wish to transact after having been provided the right pricing via EnronCredit.com, we are more than happy to transact via the more traditional channel at the moment. </w:t>
      </w:r>
    </w:p>
    <w:p>
      <w:pPr>
        <w:pStyle w:val="BodyText2"/>
        <w:jc w:val="both"/>
        <w:rPr>
          <w:b/>
        </w:rPr>
      </w:pPr>
      <w:r>
        <w:rPr>
          <w:b/>
        </w:rPr>
      </w:r>
    </w:p>
    <w:p>
      <w:pPr>
        <w:pStyle w:val="Normal"/>
        <w:jc w:val="both"/>
        <w:rPr>
          <w:rFonts w:ascii="Arial" w:hAnsi="Arial" w:cs="Arial"/>
          <w:b/>
          <w:sz w:val="24"/>
        </w:rPr>
      </w:pPr>
      <w:r>
        <w:rPr>
          <w:rFonts w:cs="Arial" w:ascii="Arial" w:hAnsi="Arial"/>
          <w:b/>
          <w:sz w:val="24"/>
        </w:rPr>
        <w:t xml:space="preserve">Q3. Why is Enron launching this new product-line that is unrelated to its core business? </w:t>
      </w:r>
    </w:p>
    <w:p>
      <w:pPr>
        <w:pStyle w:val="BodyText2"/>
        <w:jc w:val="both"/>
        <w:rPr/>
      </w:pPr>
      <w:r>
        <w:rPr/>
        <w:t xml:space="preserve">We believe that Enron’s position in the marketplace, its close ties with a number of industries, its expertise in innovative risk management, its commitment to E-commerce (EnronOnline and other online products such as EnergyDesk.com, EnronStrommarkt.com) and existing infrastructure will make us the ideal company to offer a product such as EnronCredit.com. </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color w:val="000000"/>
          <w:sz w:val="24"/>
          <w:lang w:val="en-AU" w:eastAsia="en-US"/>
        </w:rPr>
      </w:pPr>
      <w:r>
        <w:rPr>
          <w:rFonts w:cs="Arial" w:ascii="Arial" w:hAnsi="Arial"/>
          <w:b/>
          <w:color w:val="000000"/>
          <w:sz w:val="24"/>
          <w:lang w:val="en-AU" w:eastAsia="en-US"/>
        </w:rPr>
        <w:t>Q4. How can Enron offer this kind of product, given its credit rating of BBB+?</w:t>
      </w:r>
    </w:p>
    <w:p>
      <w:pPr>
        <w:pStyle w:val="BodyText"/>
        <w:spacing w:lineRule="auto" w:line="240"/>
        <w:jc w:val="both"/>
        <w:rPr/>
      </w:pPr>
      <w:r>
        <w:rPr/>
        <w:t>Enron will provide a BBB+ credit quality protection via credit enhancement from third parties. We are furthermore currently in negotiations which will enable us to provide a AA credit-enhanced product.</w:t>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Q5. How will Enron be making money on the credit trading website?</w:t>
      </w:r>
    </w:p>
    <w:p>
      <w:pPr>
        <w:pStyle w:val="BodyText2"/>
        <w:jc w:val="both"/>
        <w:rPr>
          <w:i/>
          <w:i/>
        </w:rPr>
      </w:pPr>
      <w:r>
        <w:rPr/>
        <w:t>EnronCredit.com is a free service designed to help our customers better understand credit. This will greatly simplify the process of buying protection against credit losses.</w:t>
      </w:r>
    </w:p>
    <w:p>
      <w:pPr>
        <w:pStyle w:val="Normal"/>
        <w:jc w:val="both"/>
        <w:rPr>
          <w:rFonts w:ascii="Arial" w:hAnsi="Arial" w:cs="Arial"/>
          <w:i/>
          <w:i/>
          <w:sz w:val="24"/>
        </w:rPr>
      </w:pPr>
      <w:r>
        <w:rPr>
          <w:rFonts w:cs="Arial" w:ascii="Arial" w:hAnsi="Arial"/>
          <w:i/>
          <w:sz w:val="24"/>
        </w:rPr>
      </w:r>
    </w:p>
    <w:p>
      <w:pPr>
        <w:pStyle w:val="Normal"/>
        <w:jc w:val="both"/>
        <w:rPr>
          <w:rFonts w:ascii="Arial" w:hAnsi="Arial" w:cs="Arial"/>
          <w:b/>
          <w:sz w:val="24"/>
          <w:lang w:val="en-AU" w:eastAsia="en-US"/>
        </w:rPr>
      </w:pPr>
      <w:r>
        <w:rPr>
          <w:rFonts w:cs="Arial" w:ascii="Arial" w:hAnsi="Arial"/>
          <w:b/>
          <w:sz w:val="24"/>
          <w:lang w:val="en-AU" w:eastAsia="en-US"/>
        </w:rPr>
        <w:t>Q6. How many trades do you expect to get done this year?</w:t>
      </w:r>
    </w:p>
    <w:p>
      <w:pPr>
        <w:pStyle w:val="BodyText2"/>
        <w:jc w:val="both"/>
        <w:rPr>
          <w:lang w:val="en-AU" w:eastAsia="en-US"/>
        </w:rPr>
      </w:pPr>
      <w:r>
        <w:rPr>
          <w:lang w:val="en-AU" w:eastAsia="en-US"/>
        </w:rPr>
        <w:t xml:space="preserve">We don’t want to speculate on specific numbers, but we believe that EnronCredit.com will be an immense success.  </w:t>
      </w:r>
      <w:r>
        <w:rPr>
          <w:i/>
          <w:lang w:val="en-AU" w:eastAsia="en-US"/>
        </w:rPr>
        <w:t>[Refer to EOL’s success, e.g. how it surpassed expectations in terms of transaction volume] We have already distributed over xxx usernames and passwords to existing and new customers.</w:t>
      </w:r>
    </w:p>
    <w:p>
      <w:pPr>
        <w:pStyle w:val="Normal"/>
        <w:jc w:val="both"/>
        <w:rPr>
          <w:rFonts w:ascii="Arial" w:hAnsi="Arial" w:cs="Arial"/>
          <w:color w:val="000000"/>
          <w:sz w:val="24"/>
          <w:lang w:val="en-AU" w:eastAsia="en-US"/>
        </w:rPr>
      </w:pPr>
      <w:r>
        <w:rPr>
          <w:rFonts w:cs="Arial" w:ascii="Arial" w:hAnsi="Arial"/>
          <w:color w:val="000000"/>
          <w:sz w:val="24"/>
          <w:lang w:val="en-AU" w:eastAsia="en-US"/>
        </w:rPr>
      </w:r>
    </w:p>
    <w:p>
      <w:pPr>
        <w:pStyle w:val="Normal"/>
        <w:jc w:val="both"/>
        <w:rPr/>
      </w:pPr>
      <w:r>
        <w:rPr>
          <w:rFonts w:cs="Arial" w:ascii="Arial" w:hAnsi="Arial"/>
          <w:b/>
          <w:sz w:val="24"/>
        </w:rPr>
        <w:t xml:space="preserve">Q7. Is Enron entering into competition with the insurance companies? </w:t>
      </w:r>
      <w:r>
        <w:rPr>
          <w:rFonts w:cs="Arial" w:ascii="Arial" w:hAnsi="Arial"/>
          <w:b/>
          <w:color w:val="000000"/>
          <w:sz w:val="24"/>
          <w:lang w:val="en-AU" w:eastAsia="en-US"/>
        </w:rPr>
        <w:t>How does this product compare to purchasing insurance?  Is it cheaper? Does it offer the same amount of protection?</w:t>
      </w:r>
    </w:p>
    <w:p>
      <w:pPr>
        <w:pStyle w:val="Normal"/>
        <w:jc w:val="both"/>
        <w:rPr>
          <w:rFonts w:ascii="Arial" w:hAnsi="Arial" w:cs="Arial"/>
          <w:color w:val="000000"/>
          <w:sz w:val="24"/>
          <w:lang w:val="en-AU" w:eastAsia="en-US"/>
        </w:rPr>
      </w:pPr>
      <w:r>
        <w:rPr>
          <w:rFonts w:cs="Arial" w:ascii="Arial" w:hAnsi="Arial"/>
          <w:color w:val="000000"/>
          <w:sz w:val="24"/>
          <w:lang w:val="en-AU" w:eastAsia="en-US"/>
        </w:rPr>
        <w:t xml:space="preserve">This product is tailored to provide a standard credit product for corporates to exchange credit risks in an efficient way.  The basis for insurance products is insurable loss.  Enron’s product, however, is not predicated on our customers proving that there has been an insurable loss.    </w:t>
      </w:r>
    </w:p>
    <w:p>
      <w:pPr>
        <w:pStyle w:val="Normal"/>
        <w:jc w:val="both"/>
        <w:rPr>
          <w:rFonts w:ascii="Arial" w:hAnsi="Arial" w:cs="Arial"/>
          <w:color w:val="000000"/>
          <w:sz w:val="24"/>
          <w:lang w:val="en-AU" w:eastAsia="en-US"/>
        </w:rPr>
      </w:pPr>
      <w:r>
        <w:rPr>
          <w:rFonts w:cs="Arial" w:ascii="Arial" w:hAnsi="Arial"/>
          <w:color w:val="000000"/>
          <w:sz w:val="24"/>
          <w:lang w:val="en-AU" w:eastAsia="en-US"/>
        </w:rPr>
      </w:r>
    </w:p>
    <w:p>
      <w:pPr>
        <w:pStyle w:val="Normal"/>
        <w:jc w:val="both"/>
        <w:rPr>
          <w:rFonts w:ascii="Arial" w:hAnsi="Arial" w:cs="Arial"/>
          <w:b/>
          <w:color w:val="000000"/>
          <w:sz w:val="24"/>
          <w:lang w:val="en-AU" w:eastAsia="en-US"/>
        </w:rPr>
      </w:pPr>
      <w:r>
        <w:rPr>
          <w:rFonts w:cs="Arial" w:ascii="Arial" w:hAnsi="Arial"/>
          <w:b/>
          <w:color w:val="000000"/>
          <w:sz w:val="24"/>
          <w:lang w:val="en-AU" w:eastAsia="en-US"/>
        </w:rPr>
        <w:t xml:space="preserve">Q8. Why is an energy company entering the fixed income market? Where is the competitive advantage in this? </w:t>
      </w:r>
    </w:p>
    <w:p>
      <w:pPr>
        <w:pStyle w:val="Normal"/>
        <w:jc w:val="both"/>
        <w:rPr>
          <w:rFonts w:ascii="Arial" w:hAnsi="Arial" w:cs="Arial"/>
          <w:b/>
          <w:i/>
          <w:i/>
          <w:color w:val="000000"/>
          <w:sz w:val="24"/>
          <w:lang w:val="en-AU" w:eastAsia="en-US"/>
        </w:rPr>
      </w:pPr>
      <w:r>
        <w:rPr>
          <w:rFonts w:cs="Arial" w:ascii="Arial" w:hAnsi="Arial"/>
          <w:color w:val="000000"/>
          <w:sz w:val="24"/>
          <w:lang w:val="en-AU" w:eastAsia="en-US"/>
        </w:rPr>
        <w:t>Banks traditionally offer these types of credit risk management products based upon bond default.  Our products are linked directly to the credit exposure of corporate contracts, in particular to third-party credit defaults such as bankruptcy.</w:t>
      </w:r>
    </w:p>
    <w:p>
      <w:pPr>
        <w:pStyle w:val="Normal"/>
        <w:jc w:val="both"/>
        <w:rPr>
          <w:rFonts w:ascii="Arial" w:hAnsi="Arial" w:cs="Arial"/>
          <w:b/>
          <w:i/>
          <w:i/>
          <w:color w:val="000000"/>
          <w:sz w:val="24"/>
          <w:lang w:val="en-AU" w:eastAsia="en-US"/>
        </w:rPr>
      </w:pPr>
      <w:r>
        <w:rPr>
          <w:rFonts w:cs="Arial" w:ascii="Arial" w:hAnsi="Arial"/>
          <w:b/>
          <w:i/>
          <w:color w:val="000000"/>
          <w:sz w:val="24"/>
          <w:lang w:val="en-AU" w:eastAsia="en-US"/>
        </w:rPr>
      </w:r>
    </w:p>
    <w:p>
      <w:pPr>
        <w:pStyle w:val="Normal"/>
        <w:jc w:val="both"/>
        <w:rPr>
          <w:rFonts w:ascii="Arial" w:hAnsi="Arial" w:cs="Arial"/>
          <w:b/>
          <w:sz w:val="24"/>
        </w:rPr>
      </w:pPr>
      <w:r>
        <w:rPr>
          <w:rFonts w:cs="Arial" w:ascii="Arial" w:hAnsi="Arial"/>
          <w:b/>
          <w:sz w:val="24"/>
        </w:rPr>
        <w:t>Q9. Will investment banks be your competitors?  How do you expect Enron’s prices to compare with more highly rated investment bank prices for similar products?</w:t>
      </w:r>
    </w:p>
    <w:p>
      <w:pPr>
        <w:pStyle w:val="Normal"/>
        <w:jc w:val="both"/>
        <w:rPr>
          <w:rFonts w:ascii="Arial" w:hAnsi="Arial" w:cs="Arial"/>
          <w:sz w:val="24"/>
        </w:rPr>
      </w:pPr>
      <w:r>
        <w:rPr>
          <w:rFonts w:cs="Arial" w:ascii="Arial" w:hAnsi="Arial"/>
          <w:sz w:val="24"/>
        </w:rPr>
        <w:t>Our products and services are different.  Investment banks currently do not offer our product.  Banks’ fixed income operations give them a natural advantage in bond-related default swaps, but not in the segment we are creating for corporates.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In tandem to our relationship with insurance companies, there may be opportunities to offer complementary services in the future. </w:t>
      </w:r>
    </w:p>
    <w:p>
      <w:pPr>
        <w:pStyle w:val="Normal"/>
        <w:jc w:val="both"/>
        <w:rPr>
          <w:rFonts w:ascii="Arial" w:hAnsi="Arial" w:cs="Arial"/>
          <w:sz w:val="24"/>
        </w:rPr>
      </w:pPr>
      <w:r>
        <w:rPr>
          <w:rFonts w:cs="Arial" w:ascii="Arial" w:hAnsi="Arial"/>
          <w:sz w:val="24"/>
        </w:rPr>
      </w:r>
    </w:p>
    <w:p>
      <w:pPr>
        <w:pStyle w:val="Normal"/>
        <w:jc w:val="both"/>
        <w:rPr>
          <w:rFonts w:ascii="Arial" w:hAnsi="Arial" w:cs="Arial"/>
          <w:b/>
          <w:color w:val="000000"/>
          <w:sz w:val="24"/>
          <w:lang w:val="en-AU" w:eastAsia="en-US"/>
        </w:rPr>
      </w:pPr>
      <w:r>
        <w:rPr>
          <w:rFonts w:cs="Arial" w:ascii="Arial" w:hAnsi="Arial"/>
          <w:b/>
          <w:color w:val="000000"/>
          <w:sz w:val="24"/>
          <w:lang w:val="en-AU" w:eastAsia="en-US"/>
        </w:rPr>
        <w:t>Q10. Commercial contracts are often renegotiated when a firm enters into financial difficulty.  This means that the counterparty suffers a loss without the firm ever going bankrupt.  Why do you think that Bankruptcy is the appropriate credit event?</w:t>
      </w:r>
    </w:p>
    <w:p>
      <w:pPr>
        <w:pStyle w:val="BodyText"/>
        <w:spacing w:lineRule="auto" w:line="240"/>
        <w:jc w:val="both"/>
        <w:rPr/>
      </w:pPr>
      <w:r>
        <w:rPr/>
        <w:t xml:space="preserve">Unless you buy protection on the specific commercial contract, a company always takes basis risks.  When a company enters into financial distress, it is more likely to default on and/or renegotiate its financial obligations than its commercial contracts, which are more important for the on-going commercial viability of the company.  In most cases, the financial obligations of a company in distress are restructured before trade creditors suffer a loss. </w:t>
      </w:r>
    </w:p>
    <w:p>
      <w:pPr>
        <w:pStyle w:val="Normal"/>
        <w:jc w:val="both"/>
        <w:rPr>
          <w:rFonts w:ascii="Arial" w:hAnsi="Arial" w:cs="Arial"/>
          <w:b/>
          <w:color w:val="000000"/>
          <w:sz w:val="24"/>
          <w:lang w:val="en-AU" w:eastAsia="en-US"/>
        </w:rPr>
      </w:pPr>
      <w:r>
        <w:rPr>
          <w:rFonts w:cs="Arial" w:ascii="Arial" w:hAnsi="Arial"/>
          <w:b/>
          <w:color w:val="000000"/>
          <w:sz w:val="24"/>
          <w:lang w:val="en-AU" w:eastAsia="en-US"/>
        </w:rPr>
      </w:r>
    </w:p>
    <w:p>
      <w:pPr>
        <w:pStyle w:val="Normal"/>
        <w:jc w:val="both"/>
        <w:rPr>
          <w:rFonts w:ascii="Arial" w:hAnsi="Arial" w:cs="Arial"/>
          <w:b/>
          <w:sz w:val="24"/>
        </w:rPr>
      </w:pPr>
      <w:r>
        <w:rPr>
          <w:rFonts w:cs="Arial" w:ascii="Arial" w:hAnsi="Arial"/>
          <w:b/>
          <w:sz w:val="24"/>
        </w:rPr>
        <w:t>Q11. Who are you targeting?</w:t>
      </w:r>
    </w:p>
    <w:p>
      <w:pPr>
        <w:pStyle w:val="Normal"/>
        <w:jc w:val="both"/>
        <w:rPr>
          <w:rFonts w:ascii="Arial" w:hAnsi="Arial" w:cs="Arial"/>
          <w:sz w:val="24"/>
        </w:rPr>
      </w:pPr>
      <w:r>
        <w:rPr>
          <w:rFonts w:cs="Arial" w:ascii="Arial" w:hAnsi="Arial"/>
          <w:sz w:val="24"/>
        </w:rPr>
        <w:t xml:space="preserve">We are targeting medium to large corporations across all industries globally, including existing customers.  </w:t>
      </w:r>
    </w:p>
    <w:p>
      <w:pPr>
        <w:pStyle w:val="Normal"/>
        <w:jc w:val="both"/>
        <w:rPr>
          <w:rFonts w:ascii="Arial" w:hAnsi="Arial" w:cs="Arial"/>
          <w:b/>
          <w:color w:val="000000"/>
          <w:sz w:val="24"/>
          <w:lang w:val="en-AU" w:eastAsia="en-US"/>
        </w:rPr>
      </w:pPr>
      <w:r>
        <w:rPr>
          <w:rFonts w:cs="Arial" w:ascii="Arial" w:hAnsi="Arial"/>
          <w:b/>
          <w:color w:val="000000"/>
          <w:sz w:val="24"/>
          <w:lang w:val="en-AU" w:eastAsia="en-US"/>
        </w:rPr>
      </w:r>
    </w:p>
    <w:p>
      <w:pPr>
        <w:pStyle w:val="Normal"/>
        <w:jc w:val="both"/>
        <w:rPr/>
      </w:pPr>
      <w:r>
        <w:rPr>
          <w:rFonts w:cs="Arial" w:ascii="Arial" w:hAnsi="Arial"/>
          <w:b/>
          <w:sz w:val="24"/>
        </w:rPr>
        <w:t>Q12. Is Enron</w:t>
      </w:r>
      <w:r>
        <w:rPr>
          <w:rFonts w:cs="Arial" w:ascii="Arial" w:hAnsi="Arial"/>
          <w:b/>
          <w:color w:val="000000"/>
          <w:sz w:val="24"/>
        </w:rPr>
        <w:t xml:space="preserve"> at a competitive disadvantage if it begins quoting products/markets it is currently not involved in?</w:t>
      </w:r>
    </w:p>
    <w:p>
      <w:pPr>
        <w:pStyle w:val="Normal"/>
        <w:jc w:val="both"/>
        <w:rPr>
          <w:rFonts w:ascii="Arial" w:hAnsi="Arial" w:cs="Arial"/>
          <w:color w:val="000000"/>
          <w:sz w:val="24"/>
          <w:lang w:val="en-AU" w:eastAsia="en-US"/>
        </w:rPr>
      </w:pPr>
      <w:r>
        <w:rPr>
          <w:rFonts w:cs="Arial" w:ascii="Arial" w:hAnsi="Arial"/>
          <w:color w:val="000000"/>
          <w:sz w:val="24"/>
          <w:lang w:val="en-AU" w:eastAsia="en-US"/>
        </w:rPr>
        <w:t>Our core expertise is currently in the energy, telecommunications and technology areas.  We are currently building expertise across a spectrum of industries.</w:t>
      </w:r>
    </w:p>
    <w:p>
      <w:pPr>
        <w:pStyle w:val="Normal"/>
        <w:jc w:val="both"/>
        <w:rPr>
          <w:rFonts w:ascii="Arial" w:hAnsi="Arial" w:cs="Arial"/>
          <w:i/>
          <w:i/>
          <w:color w:val="000000"/>
          <w:sz w:val="24"/>
          <w:lang w:val="en-AU" w:eastAsia="en-US"/>
        </w:rPr>
      </w:pPr>
      <w:r>
        <w:rPr>
          <w:rFonts w:cs="Arial" w:ascii="Arial" w:hAnsi="Arial"/>
          <w:i/>
          <w:color w:val="000000"/>
          <w:sz w:val="24"/>
          <w:lang w:val="en-AU" w:eastAsia="en-US"/>
        </w:rPr>
      </w:r>
      <w:r>
        <w:br w:type="page"/>
      </w:r>
    </w:p>
    <w:p>
      <w:pPr>
        <w:pStyle w:val="BodyText3"/>
        <w:jc w:val="both"/>
        <w:rPr/>
      </w:pPr>
      <w:r>
        <w:rPr/>
        <w:t>Q13.  Aren’t you taking on a role that is normally filled in by rating agencies?</w:t>
      </w:r>
    </w:p>
    <w:p>
      <w:pPr>
        <w:pStyle w:val="Heading1"/>
        <w:ind w:hanging="0" w:start="0"/>
        <w:jc w:val="both"/>
        <w:rPr>
          <w:rFonts w:ascii="Arial" w:hAnsi="Arial" w:cs="Arial"/>
        </w:rPr>
      </w:pPr>
      <w:r>
        <w:rPr>
          <w:rFonts w:cs="Arial" w:ascii="Arial" w:hAnsi="Arial"/>
        </w:rPr>
        <w:t>Rating agencies generally provide a service by periodically reviewing the credit-worthiness of specific types of debt that a company may have.  We are making markets in bankruptcy protection, whose price is market-driven.</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t>Q14. Is Enron using any inside information that it has on the counterparties to quote its prices?</w:t>
      </w:r>
    </w:p>
    <w:p>
      <w:pPr>
        <w:pStyle w:val="BodyText2"/>
        <w:jc w:val="both"/>
        <w:rPr/>
      </w:pPr>
      <w:r>
        <w:rPr/>
        <w:t>We have been very careful to ensure that any confidential information is not used inappropriately.</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t>Q15. If a counterparty does not agree with Enron’s quoted prices, can it get the prices changed? If so, how?</w:t>
      </w:r>
    </w:p>
    <w:p>
      <w:pPr>
        <w:pStyle w:val="Normal"/>
        <w:jc w:val="both"/>
        <w:rPr>
          <w:rFonts w:ascii="Arial" w:hAnsi="Arial" w:cs="Arial"/>
          <w:color w:val="000000"/>
          <w:sz w:val="24"/>
          <w:lang w:val="en-AU" w:eastAsia="en-US"/>
        </w:rPr>
      </w:pPr>
      <w:r>
        <w:rPr>
          <w:rFonts w:cs="Arial" w:ascii="Arial" w:hAnsi="Arial"/>
          <w:color w:val="000000"/>
          <w:sz w:val="24"/>
          <w:lang w:val="en-AU" w:eastAsia="en-US"/>
        </w:rPr>
        <w:t xml:space="preserve">Enron’s prices are market prices for credit protection on certain reference credits.  Both bids and offers will be quoted and available to transact against.  </w:t>
      </w:r>
    </w:p>
    <w:p>
      <w:pPr>
        <w:pStyle w:val="Normal"/>
        <w:jc w:val="both"/>
        <w:rPr>
          <w:rFonts w:ascii="Arial" w:hAnsi="Arial" w:cs="Arial"/>
          <w:b/>
          <w:color w:val="000000"/>
          <w:sz w:val="24"/>
          <w:lang w:val="en-AU" w:eastAsia="en-US"/>
        </w:rPr>
      </w:pPr>
      <w:r>
        <w:rPr>
          <w:rFonts w:cs="Arial" w:ascii="Arial" w:hAnsi="Arial"/>
          <w:b/>
          <w:color w:val="000000"/>
          <w:sz w:val="24"/>
          <w:lang w:val="en-AU" w:eastAsia="en-US"/>
        </w:rPr>
      </w:r>
    </w:p>
    <w:p>
      <w:pPr>
        <w:pStyle w:val="Normal"/>
        <w:jc w:val="both"/>
        <w:rPr>
          <w:rFonts w:ascii="Arial" w:hAnsi="Arial" w:cs="Arial"/>
          <w:b/>
          <w:sz w:val="24"/>
        </w:rPr>
      </w:pPr>
      <w:r>
        <w:rPr>
          <w:rFonts w:cs="Arial" w:ascii="Arial" w:hAnsi="Arial"/>
          <w:b/>
          <w:sz w:val="24"/>
        </w:rPr>
        <w:t>Q16. Do you not think that the large bid-offer spread you are quoting will limit the development of this new market?</w:t>
      </w:r>
    </w:p>
    <w:p>
      <w:pPr>
        <w:pStyle w:val="BodyText"/>
        <w:spacing w:lineRule="auto" w:line="240"/>
        <w:jc w:val="both"/>
        <w:rPr/>
      </w:pPr>
      <w:r>
        <w:rPr/>
        <w:t>Initially there may be higher spreads, but these are expected to tighten as liquidity increases.</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t>Q17. Will Enron restrict the lost of reference assets it quotes prices on to utility companies?</w:t>
      </w:r>
    </w:p>
    <w:p>
      <w:pPr>
        <w:pStyle w:val="Normal"/>
        <w:jc w:val="both"/>
        <w:rPr>
          <w:rFonts w:ascii="Arial" w:hAnsi="Arial" w:cs="Arial"/>
          <w:i/>
          <w:i/>
          <w:color w:val="000000"/>
          <w:sz w:val="24"/>
          <w:lang w:val="en-AU" w:eastAsia="en-US"/>
        </w:rPr>
      </w:pPr>
      <w:r>
        <w:rPr>
          <w:rFonts w:cs="Arial" w:ascii="Arial" w:hAnsi="Arial"/>
          <w:sz w:val="24"/>
        </w:rPr>
        <w:t>No.  We will quote on reference credits that we have expertise in evaluating and managing, including telecommunications, energy, utilities and technology companies.</w:t>
      </w:r>
    </w:p>
    <w:p>
      <w:pPr>
        <w:pStyle w:val="Normal"/>
        <w:jc w:val="both"/>
        <w:rPr>
          <w:rFonts w:ascii="Arial" w:hAnsi="Arial" w:cs="Arial"/>
          <w:b/>
          <w:i/>
          <w:i/>
          <w:color w:val="000000"/>
          <w:sz w:val="24"/>
          <w:lang w:val="en-AU" w:eastAsia="en-US"/>
        </w:rPr>
      </w:pPr>
      <w:r>
        <w:rPr>
          <w:rFonts w:cs="Arial" w:ascii="Arial" w:hAnsi="Arial"/>
          <w:b/>
          <w:i/>
          <w:color w:val="000000"/>
          <w:sz w:val="24"/>
          <w:lang w:val="en-AU" w:eastAsia="en-US"/>
        </w:rPr>
      </w:r>
    </w:p>
    <w:p>
      <w:pPr>
        <w:pStyle w:val="Normal"/>
        <w:jc w:val="both"/>
        <w:rPr>
          <w:rFonts w:ascii="Arial" w:hAnsi="Arial" w:cs="Arial"/>
          <w:b/>
          <w:color w:val="000000"/>
          <w:sz w:val="24"/>
          <w:lang w:val="en-AU" w:eastAsia="en-US"/>
        </w:rPr>
      </w:pPr>
      <w:r>
        <w:rPr>
          <w:rFonts w:cs="Arial" w:ascii="Arial" w:hAnsi="Arial"/>
          <w:b/>
          <w:color w:val="000000"/>
          <w:sz w:val="24"/>
          <w:lang w:val="en-AU" w:eastAsia="en-US"/>
        </w:rPr>
        <w:t>Q18. Say a firm is on accrual accounting.  How can we justify buying a credit default swap from you?</w:t>
      </w:r>
    </w:p>
    <w:p>
      <w:pPr>
        <w:pStyle w:val="Normal"/>
        <w:jc w:val="both"/>
        <w:rPr>
          <w:rFonts w:ascii="Arial" w:hAnsi="Arial" w:cs="Arial"/>
          <w:color w:val="000000"/>
          <w:sz w:val="24"/>
          <w:lang w:val="en-AU" w:eastAsia="en-US"/>
        </w:rPr>
      </w:pPr>
      <w:r>
        <w:rPr>
          <w:rFonts w:cs="Arial" w:ascii="Arial" w:hAnsi="Arial"/>
          <w:color w:val="000000"/>
          <w:sz w:val="24"/>
          <w:lang w:val="en-AU" w:eastAsia="en-US"/>
        </w:rPr>
        <w:t>Regardless of accounting treatment, credit risk is real. Credit default swaps will allow companies to transfer the credit risk to Enron.</w:t>
      </w:r>
    </w:p>
    <w:p>
      <w:pPr>
        <w:pStyle w:val="Normal"/>
        <w:jc w:val="both"/>
        <w:rPr>
          <w:rFonts w:ascii="Arial" w:hAnsi="Arial" w:cs="Arial"/>
          <w:b/>
          <w:color w:val="000000"/>
          <w:sz w:val="24"/>
          <w:lang w:val="en-AU" w:eastAsia="en-US"/>
        </w:rPr>
      </w:pPr>
      <w:r>
        <w:rPr>
          <w:rFonts w:cs="Arial" w:ascii="Arial" w:hAnsi="Arial"/>
          <w:b/>
          <w:color w:val="000000"/>
          <w:sz w:val="24"/>
          <w:lang w:val="en-AU" w:eastAsia="en-US"/>
        </w:rPr>
      </w:r>
    </w:p>
    <w:p>
      <w:pPr>
        <w:pStyle w:val="Normal"/>
        <w:jc w:val="both"/>
        <w:rPr>
          <w:rFonts w:ascii="Arial" w:hAnsi="Arial" w:cs="Arial"/>
          <w:b/>
          <w:color w:val="000000"/>
          <w:sz w:val="24"/>
          <w:lang w:val="en-AU" w:eastAsia="en-US"/>
        </w:rPr>
      </w:pPr>
      <w:r>
        <w:rPr>
          <w:rFonts w:cs="Arial" w:ascii="Arial" w:hAnsi="Arial"/>
          <w:b/>
          <w:color w:val="000000"/>
          <w:sz w:val="24"/>
          <w:lang w:val="en-AU" w:eastAsia="en-US"/>
        </w:rPr>
        <w:t>Q19. Why would a firm ever want to or need to sell a Credit default swap?</w:t>
      </w:r>
    </w:p>
    <w:p>
      <w:pPr>
        <w:pStyle w:val="Normal"/>
        <w:jc w:val="both"/>
        <w:rPr>
          <w:rFonts w:ascii="Arial" w:hAnsi="Arial" w:cs="Arial"/>
          <w:color w:val="000000"/>
          <w:sz w:val="24"/>
          <w:lang w:val="en-AU" w:eastAsia="en-US"/>
        </w:rPr>
      </w:pPr>
      <w:r>
        <w:rPr>
          <w:rFonts w:cs="Arial" w:ascii="Arial" w:hAnsi="Arial"/>
          <w:color w:val="000000"/>
          <w:sz w:val="24"/>
          <w:lang w:val="en-AU" w:eastAsia="en-US"/>
        </w:rPr>
        <w:t>In addition to hedging specific reference credits, credit default swaps can be used to diversify a portfolio and to optimise the return on credit lines.</w:t>
      </w:r>
    </w:p>
    <w:p>
      <w:pPr>
        <w:pStyle w:val="Normal"/>
        <w:jc w:val="both"/>
        <w:rPr>
          <w:rFonts w:ascii="Arial" w:hAnsi="Arial" w:cs="Arial"/>
          <w:b/>
          <w:color w:val="000000"/>
          <w:sz w:val="24"/>
          <w:lang w:val="en-AU" w:eastAsia="en-US"/>
        </w:rPr>
      </w:pPr>
      <w:r>
        <w:rPr>
          <w:rFonts w:cs="Arial" w:ascii="Arial" w:hAnsi="Arial"/>
          <w:b/>
          <w:color w:val="000000"/>
          <w:sz w:val="24"/>
          <w:lang w:val="en-AU" w:eastAsia="en-US"/>
        </w:rPr>
      </w:r>
    </w:p>
    <w:p>
      <w:pPr>
        <w:pStyle w:val="Normal"/>
        <w:jc w:val="both"/>
        <w:rPr>
          <w:rFonts w:ascii="Arial" w:hAnsi="Arial" w:cs="Arial"/>
          <w:b/>
          <w:sz w:val="24"/>
        </w:rPr>
      </w:pPr>
      <w:r>
        <w:rPr>
          <w:rFonts w:cs="Arial" w:ascii="Arial" w:hAnsi="Arial"/>
          <w:b/>
          <w:color w:val="000000"/>
          <w:sz w:val="24"/>
          <w:lang w:val="en-AU" w:eastAsia="en-US"/>
        </w:rPr>
        <w:t>Q20. Can a counterparty trade on any of the names? If not, what restrictions are in place?</w:t>
      </w:r>
    </w:p>
    <w:p>
      <w:pPr>
        <w:pStyle w:val="Normal"/>
        <w:jc w:val="both"/>
        <w:rPr>
          <w:rFonts w:ascii="Arial" w:hAnsi="Arial" w:cs="Arial"/>
          <w:color w:val="000000"/>
          <w:sz w:val="24"/>
          <w:lang w:val="en-AU" w:eastAsia="en-US"/>
        </w:rPr>
      </w:pPr>
      <w:r>
        <w:rPr>
          <w:rFonts w:cs="Arial" w:ascii="Arial" w:hAnsi="Arial"/>
          <w:color w:val="000000"/>
          <w:sz w:val="24"/>
          <w:lang w:val="en-AU" w:eastAsia="en-US"/>
        </w:rPr>
        <w:t>Generally, counterparties can transact on any reference credits we make markets in, provided they have the appropriate authorities.</w:t>
      </w:r>
    </w:p>
    <w:p>
      <w:pPr>
        <w:pStyle w:val="Normal"/>
        <w:jc w:val="both"/>
        <w:rPr>
          <w:rFonts w:ascii="Arial" w:hAnsi="Arial" w:cs="Arial"/>
          <w:b/>
          <w:color w:val="000000"/>
          <w:sz w:val="24"/>
          <w:lang w:val="en-AU" w:eastAsia="en-US"/>
        </w:rPr>
      </w:pPr>
      <w:r>
        <w:rPr>
          <w:rFonts w:cs="Arial" w:ascii="Arial" w:hAnsi="Arial"/>
          <w:b/>
          <w:color w:val="000000"/>
          <w:sz w:val="24"/>
          <w:lang w:val="en-AU" w:eastAsia="en-US"/>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rFonts w:ascii="Arial" w:hAnsi="Arial" w:cs="Arial"/>
      <w:b/>
      <w:sz w:val="24"/>
    </w:rPr>
  </w:style>
  <w:style w:type="paragraph" w:styleId="Heading3">
    <w:name w:val="heading 3"/>
    <w:basedOn w:val="Normal"/>
    <w:next w:val="Normal"/>
    <w:qFormat/>
    <w:pPr>
      <w:keepNext w:val="true"/>
      <w:numPr>
        <w:ilvl w:val="2"/>
        <w:numId w:val="1"/>
      </w:numPr>
      <w:jc w:val="end"/>
      <w:outlineLvl w:val="2"/>
    </w:pPr>
    <w:rPr>
      <w:rFonts w:ascii="Arial" w:hAnsi="Arial" w:cs="Arial"/>
      <w:b/>
      <w:sz w:val="24"/>
      <w:lang w:eastAsia="de-DE"/>
    </w:rPr>
  </w:style>
  <w:style w:type="paragraph" w:styleId="Heading5">
    <w:name w:val="heading 5"/>
    <w:basedOn w:val="Normal"/>
    <w:next w:val="Normal"/>
    <w:qFormat/>
    <w:pPr>
      <w:keepNext w:val="true"/>
      <w:numPr>
        <w:ilvl w:val="4"/>
        <w:numId w:val="1"/>
      </w:numPr>
      <w:jc w:val="end"/>
      <w:outlineLvl w:val="4"/>
    </w:pPr>
    <w:rPr>
      <w:rFonts w:ascii="Arial" w:hAnsi="Arial" w:cs="Arial"/>
      <w:b/>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Arial" w:hAnsi="Arial" w:cs="Arial"/>
      <w:color w:val="000000"/>
      <w:sz w:val="24"/>
      <w:lang w:val="en-AU"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sz w:val="24"/>
    </w:rPr>
  </w:style>
  <w:style w:type="paragraph" w:styleId="BodyText3">
    <w:name w:val="Body Text 3"/>
    <w:basedOn w:val="Normal"/>
    <w:qFormat/>
    <w:pPr/>
    <w:rPr>
      <w:rFonts w:ascii="Arial" w:hAnsi="Arial" w:cs="Arial"/>
      <w:b/>
      <w:color w:val="000000"/>
      <w:sz w:val="24"/>
      <w:lang w:val="en-AU"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2000-02-18T09:46:00Z</dcterms:created>
  <dc:creator>Administrator</dc:creator>
  <dc:description/>
  <dc:language>en-CA</dc:language>
  <cp:lastModifiedBy>EHoeffel</cp:lastModifiedBy>
  <cp:lastPrinted>2000-02-18T12:33:00Z</cp:lastPrinted>
  <dcterms:modified xsi:type="dcterms:W3CDTF">2000-02-18T10:04:00Z</dcterms:modified>
  <cp:revision>5</cp:revision>
  <dc:subject/>
  <dc:title>Questions we do not what being asked</dc:title>
</cp:coreProperties>
</file>