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color w:val="000000"/>
          <w:sz w:val="22"/>
        </w:rPr>
      </w:pPr>
      <w:r>
        <w:rPr>
          <w:color w:val="000000"/>
          <w:sz w:val="22"/>
        </w:rPr>
        <w:t>Transport Options on Transwestern</w:t>
      </w:r>
    </w:p>
    <w:p>
      <w:pPr>
        <w:pStyle w:val="Normal"/>
        <w:spacing w:lineRule="atLeast" w:line="240"/>
        <w:rPr>
          <w:color w:val="000000"/>
          <w:sz w:val="22"/>
        </w:rPr>
      </w:pPr>
      <w:r>
        <w:rPr>
          <w:color w:val="000000"/>
          <w:sz w:val="22"/>
        </w:rPr>
        <w:t>Answers to Pete Frost's (Conoco) questions:</w:t>
      </w:r>
    </w:p>
    <w:p>
      <w:pPr>
        <w:pStyle w:val="Normal"/>
        <w:spacing w:lineRule="atLeast" w:line="240"/>
        <w:rPr>
          <w:color w:val="000000"/>
          <w:sz w:val="22"/>
        </w:rPr>
      </w:pPr>
      <w:r>
        <w:rPr>
          <w:color w:val="000000"/>
          <w:sz w:val="22"/>
        </w:rPr>
      </w:r>
    </w:p>
    <w:p>
      <w:pPr>
        <w:pStyle w:val="Normal"/>
        <w:spacing w:lineRule="atLeast" w:line="240"/>
        <w:rPr>
          <w:color w:val="000000"/>
          <w:sz w:val="22"/>
        </w:rPr>
      </w:pPr>
      <w:r>
        <w:rPr>
          <w:color w:val="000000"/>
          <w:sz w:val="22"/>
        </w:rPr>
        <w:t>1.</w:t>
        <w:tab/>
        <w:t>Market Based Rates.  To the extent that TW intends to offer the TOP service without a corresponding cost based recourse service, under current FERC policy, TW would need to make a filing that demonstrates a lack of market power.</w:t>
      </w:r>
    </w:p>
    <w:p>
      <w:pPr>
        <w:pStyle w:val="Normal"/>
        <w:spacing w:lineRule="atLeast" w:line="240"/>
        <w:rPr>
          <w:color w:val="000000"/>
          <w:sz w:val="22"/>
        </w:rPr>
      </w:pPr>
      <w:r>
        <w:rPr>
          <w:color w:val="000000"/>
          <w:sz w:val="22"/>
        </w:rPr>
      </w:r>
    </w:p>
    <w:p>
      <w:pPr>
        <w:pStyle w:val="Normal"/>
        <w:spacing w:lineRule="atLeast" w:line="240"/>
        <w:rPr>
          <w:color w:val="000000"/>
          <w:sz w:val="22"/>
        </w:rPr>
      </w:pPr>
      <w:r>
        <w:rPr>
          <w:color w:val="000000"/>
          <w:sz w:val="22"/>
        </w:rPr>
        <w:t>Response:  TW will not need to show lack of market power.  Options will not be a separate service but rather will be sold only in conjunction with transportation service.  The option fee, while broken out separately, will be considered part of the transportation rate.  The option fee will be based on the value the shipper places on the option.  If the total transport rate including option fee is higher than the maximum tariff rate, the rate will be considered to be a negotiated rate.</w:t>
      </w:r>
    </w:p>
    <w:p>
      <w:pPr>
        <w:pStyle w:val="Normal"/>
        <w:spacing w:lineRule="atLeast" w:line="240"/>
        <w:rPr>
          <w:color w:val="000000"/>
          <w:sz w:val="22"/>
        </w:rPr>
      </w:pPr>
      <w:r>
        <w:rPr>
          <w:color w:val="000000"/>
          <w:sz w:val="22"/>
        </w:rPr>
      </w:r>
    </w:p>
    <w:p>
      <w:pPr>
        <w:pStyle w:val="Normal"/>
        <w:spacing w:lineRule="atLeast" w:line="240"/>
        <w:rPr>
          <w:color w:val="000000"/>
          <w:sz w:val="22"/>
        </w:rPr>
      </w:pPr>
      <w:r>
        <w:rPr>
          <w:color w:val="000000"/>
          <w:sz w:val="22"/>
        </w:rPr>
        <w:t>2.</w:t>
        <w:tab/>
        <w:t>Comparable Service:  To the extent that TW implements a TOP service, it would be highly advisable to provide that other FT holders be able to offer a similar call &amp; put capability in the capacity release market.  As I remember TW's tariffs, this would likely require specific changes to the capacity release sections in order to allow prospective capacity releases</w:t>
      </w:r>
    </w:p>
    <w:p>
      <w:pPr>
        <w:pStyle w:val="Normal"/>
        <w:spacing w:lineRule="atLeast" w:line="240"/>
        <w:rPr>
          <w:color w:val="000000"/>
          <w:sz w:val="22"/>
        </w:rPr>
      </w:pPr>
      <w:r>
        <w:rPr>
          <w:color w:val="000000"/>
          <w:sz w:val="22"/>
        </w:rPr>
        <w:t>with a call or put pricing option.</w:t>
      </w:r>
    </w:p>
    <w:p>
      <w:pPr>
        <w:pStyle w:val="Normal"/>
        <w:spacing w:lineRule="atLeast" w:line="240"/>
        <w:rPr>
          <w:color w:val="000000"/>
          <w:sz w:val="22"/>
        </w:rPr>
      </w:pPr>
      <w:r>
        <w:rPr>
          <w:color w:val="000000"/>
          <w:sz w:val="22"/>
        </w:rPr>
      </w:r>
    </w:p>
    <w:p>
      <w:pPr>
        <w:pStyle w:val="Normal"/>
        <w:spacing w:lineRule="atLeast" w:line="240"/>
        <w:rPr/>
      </w:pPr>
      <w:r>
        <w:rPr>
          <w:color w:val="000000"/>
          <w:sz w:val="22"/>
        </w:rPr>
        <w:t xml:space="preserve">Response:  TW's understanding is that shippers already buy and sell optionality on capacity from each other and that such activity is outside the scope of TW's tariff and FERC regulation.  As specifically stated in TW's proposed tariff provisions, </w:t>
      </w:r>
      <w:r>
        <w:rPr>
          <w:sz w:val="22"/>
        </w:rPr>
        <w:t>options purchased or sold pursuant to TW's tariff may be released or assigned but such release or assignment may only occur in connection with the release of capacity or the assignment of the underlying firm transportation agreement in accordance with the applicable terms and conditions of the tariff.</w:t>
      </w:r>
    </w:p>
    <w:p>
      <w:pPr>
        <w:pStyle w:val="Normal"/>
        <w:spacing w:lineRule="atLeast" w:line="240"/>
        <w:rPr>
          <w:color w:val="000000"/>
          <w:sz w:val="22"/>
        </w:rPr>
      </w:pPr>
      <w:r>
        <w:rPr>
          <w:color w:val="000000"/>
          <w:sz w:val="22"/>
        </w:rPr>
      </w:r>
    </w:p>
    <w:p>
      <w:pPr>
        <w:pStyle w:val="Normal"/>
        <w:spacing w:lineRule="atLeast" w:line="240"/>
        <w:rPr>
          <w:color w:val="000000"/>
          <w:sz w:val="22"/>
        </w:rPr>
      </w:pPr>
      <w:r>
        <w:rPr>
          <w:color w:val="000000"/>
          <w:sz w:val="22"/>
        </w:rPr>
        <w:t>3.</w:t>
        <w:tab/>
        <w:t>Hoarding:  The TOP service should not be a means for any party (particularly an affiliate) to manipulate the transportation market and/or to exert market power by withholding capacity.</w:t>
      </w:r>
    </w:p>
    <w:p>
      <w:pPr>
        <w:pStyle w:val="Normal"/>
        <w:spacing w:lineRule="atLeast" w:line="240"/>
        <w:rPr>
          <w:color w:val="000000"/>
          <w:sz w:val="22"/>
        </w:rPr>
      </w:pPr>
      <w:r>
        <w:rPr>
          <w:color w:val="000000"/>
          <w:sz w:val="22"/>
        </w:rPr>
      </w:r>
    </w:p>
    <w:p>
      <w:pPr>
        <w:pStyle w:val="Normal"/>
        <w:spacing w:lineRule="atLeast" w:line="240"/>
        <w:rPr>
          <w:color w:val="000000"/>
          <w:sz w:val="22"/>
        </w:rPr>
      </w:pPr>
      <w:r>
        <w:rPr>
          <w:color w:val="000000"/>
          <w:sz w:val="22"/>
        </w:rPr>
        <w:t xml:space="preserve">Response:  TW will sell capacity/options to those shippers that place the highest value on the capacity/options.  And, as always, TW will comply with all rules regarding sale of capacity to its marketing affiliate.  TW believes that it is entitled to a presumption that it is complying with the marketing affiliate rules and Commission policy on nondiscriminatory awarding of capacity.  Accordingly, it has not included any provisions in the proposed tariff language that might limit its ability to sell options.  </w:t>
      </w:r>
    </w:p>
    <w:p>
      <w:pPr>
        <w:pStyle w:val="Normal"/>
        <w:spacing w:lineRule="atLeast" w:line="240"/>
        <w:rPr>
          <w:color w:val="000000"/>
          <w:sz w:val="22"/>
        </w:rPr>
      </w:pPr>
      <w:r>
        <w:rPr>
          <w:color w:val="000000"/>
          <w:sz w:val="22"/>
        </w:rPr>
      </w:r>
    </w:p>
    <w:p>
      <w:pPr>
        <w:pStyle w:val="Normal"/>
        <w:spacing w:lineRule="atLeast" w:line="240"/>
        <w:rPr>
          <w:color w:val="000000"/>
          <w:sz w:val="22"/>
        </w:rPr>
      </w:pPr>
      <w:r>
        <w:rPr>
          <w:color w:val="000000"/>
          <w:sz w:val="22"/>
        </w:rPr>
        <w:t>4.</w:t>
        <w:tab/>
        <w:t>Reliability:  The TOP service should require sufficient protections to ensure continued, undiminished service to all of TW's existing and future FT customers.</w:t>
      </w:r>
    </w:p>
    <w:p>
      <w:pPr>
        <w:pStyle w:val="Normal"/>
        <w:spacing w:lineRule="atLeast" w:line="240"/>
        <w:rPr>
          <w:color w:val="000000"/>
          <w:sz w:val="22"/>
        </w:rPr>
      </w:pPr>
      <w:r>
        <w:rPr>
          <w:color w:val="000000"/>
          <w:sz w:val="22"/>
        </w:rPr>
      </w:r>
    </w:p>
    <w:p>
      <w:pPr>
        <w:pStyle w:val="Normal"/>
        <w:spacing w:lineRule="atLeast" w:line="240"/>
        <w:rPr>
          <w:color w:val="000000"/>
          <w:sz w:val="22"/>
        </w:rPr>
      </w:pPr>
      <w:r>
        <w:rPr>
          <w:color w:val="000000"/>
          <w:sz w:val="22"/>
        </w:rPr>
        <w:t>Response:  As explained in the filing letter, TW will ensure that capacity is available to its existing and future customers by implementing a transportation book that will enable TW to track available capacity on a daily basis.  TW is obligated to honor its firm commitments and will ensure the sale of options does not impair its ability to do so.  TW has an incentive to ensure continued, undiminished service because, simply stated,  it stands to lose financially if it does not.</w:t>
      </w:r>
    </w:p>
    <w:p>
      <w:pPr>
        <w:pStyle w:val="Normal"/>
        <w:spacing w:lineRule="atLeast" w:line="240"/>
        <w:rPr>
          <w:color w:val="000000"/>
          <w:sz w:val="22"/>
        </w:rPr>
      </w:pPr>
      <w:r>
        <w:rPr>
          <w:color w:val="000000"/>
          <w:sz w:val="22"/>
        </w:rPr>
      </w:r>
    </w:p>
    <w:p>
      <w:pPr>
        <w:pStyle w:val="Normal"/>
        <w:spacing w:lineRule="atLeast" w:line="240"/>
        <w:rPr>
          <w:color w:val="000000"/>
          <w:sz w:val="22"/>
        </w:rPr>
      </w:pPr>
      <w:r>
        <w:rPr>
          <w:color w:val="000000"/>
          <w:sz w:val="22"/>
        </w:rPr>
        <w:t>5.</w:t>
        <w:tab/>
        <w:t>Standardized Product:  The terms and conditions for the TOP service should be standardized in order that each TOP service offer is not considered a "non-conforming" contract under FERC policy.  The call and put options, and any administrative or operating limitations, should be specifically defined.</w:t>
      </w:r>
    </w:p>
    <w:p>
      <w:pPr>
        <w:pStyle w:val="Normal"/>
        <w:spacing w:lineRule="atLeast" w:line="240"/>
        <w:rPr>
          <w:color w:val="000000"/>
          <w:sz w:val="22"/>
        </w:rPr>
      </w:pPr>
      <w:r>
        <w:rPr>
          <w:color w:val="000000"/>
          <w:sz w:val="22"/>
        </w:rPr>
      </w:r>
    </w:p>
    <w:p>
      <w:pPr>
        <w:pStyle w:val="Normal"/>
        <w:spacing w:lineRule="atLeast" w:line="240"/>
        <w:rPr>
          <w:color w:val="000000"/>
          <w:sz w:val="22"/>
        </w:rPr>
      </w:pPr>
      <w:r>
        <w:rPr>
          <w:color w:val="000000"/>
          <w:sz w:val="22"/>
        </w:rPr>
        <w:t>Response:  TW's tariff filing includes a standard form of Transport Option Amendment with blanks for filling in the essential terms such as price, quantity, etc.  TW is making this filing to make options generally available on a standardized basis, to eliminate any need to file individual contracts as non-conforming contracts.</w:t>
      </w:r>
    </w:p>
    <w:p>
      <w:pPr>
        <w:pStyle w:val="Normal"/>
        <w:spacing w:lineRule="atLeast" w:line="240"/>
        <w:rPr>
          <w:color w:val="000000"/>
          <w:sz w:val="22"/>
        </w:rPr>
      </w:pPr>
      <w:r>
        <w:rPr>
          <w:color w:val="000000"/>
          <w:sz w:val="22"/>
        </w:rPr>
        <w:t xml:space="preserve"> </w:t>
      </w:r>
    </w:p>
    <w:p>
      <w:pPr>
        <w:pStyle w:val="Normal"/>
        <w:spacing w:lineRule="atLeast" w:line="240"/>
        <w:rPr>
          <w:color w:val="000000"/>
          <w:sz w:val="22"/>
        </w:rPr>
      </w:pPr>
      <w:r>
        <w:rPr>
          <w:color w:val="000000"/>
          <w:sz w:val="22"/>
        </w:rPr>
        <w:t>6.</w:t>
        <w:tab/>
        <w:t>Non-preferential Service:  TW must ensure that the TOP service is offered and administered in a manner that is fair and equitable, and in a manner that does not convey a preferential right to any party (particularly an affiliate).</w:t>
      </w:r>
    </w:p>
    <w:p>
      <w:pPr>
        <w:pStyle w:val="Normal"/>
        <w:spacing w:lineRule="atLeast" w:line="240"/>
        <w:rPr>
          <w:color w:val="000000"/>
          <w:sz w:val="22"/>
        </w:rPr>
      </w:pPr>
      <w:r>
        <w:rPr>
          <w:color w:val="000000"/>
          <w:sz w:val="22"/>
        </w:rPr>
      </w:r>
    </w:p>
    <w:p>
      <w:pPr>
        <w:pStyle w:val="Normal"/>
        <w:spacing w:lineRule="atLeast" w:line="240"/>
        <w:rPr>
          <w:color w:val="000000"/>
          <w:sz w:val="22"/>
        </w:rPr>
      </w:pPr>
      <w:r>
        <w:rPr>
          <w:color w:val="000000"/>
          <w:sz w:val="22"/>
        </w:rPr>
        <w:t>Response:  see answer to question No. 3.</w:t>
      </w:r>
    </w:p>
    <w:p>
      <w:pPr>
        <w:pStyle w:val="Normal"/>
        <w:spacing w:lineRule="atLeast" w:line="240"/>
        <w:rPr>
          <w:color w:val="000000"/>
          <w:sz w:val="22"/>
        </w:rPr>
      </w:pPr>
      <w:r>
        <w:rPr>
          <w:color w:val="000000"/>
          <w:sz w:val="22"/>
        </w:rPr>
      </w:r>
    </w:p>
    <w:p>
      <w:pPr>
        <w:pStyle w:val="Normal"/>
        <w:spacing w:lineRule="atLeast" w:line="240"/>
        <w:rPr>
          <w:color w:val="000000"/>
          <w:sz w:val="22"/>
        </w:rPr>
      </w:pPr>
      <w:r>
        <w:rPr>
          <w:color w:val="000000"/>
          <w:sz w:val="22"/>
        </w:rPr>
        <w:t>7.</w:t>
        <w:tab/>
        <w:t>Revenue:  Regardless of whether the TOP is a cost or market based rate, there will be a question as to where the revenue goes.</w:t>
      </w:r>
    </w:p>
    <w:p>
      <w:pPr>
        <w:pStyle w:val="Normal"/>
        <w:spacing w:lineRule="atLeast" w:line="240"/>
        <w:rPr>
          <w:color w:val="000000"/>
          <w:sz w:val="22"/>
        </w:rPr>
      </w:pPr>
      <w:r>
        <w:rPr>
          <w:color w:val="000000"/>
          <w:sz w:val="22"/>
        </w:rPr>
      </w:r>
    </w:p>
    <w:p>
      <w:pPr>
        <w:pStyle w:val="Normal"/>
        <w:spacing w:lineRule="atLeast" w:line="240"/>
        <w:rPr>
          <w:color w:val="000000"/>
          <w:sz w:val="22"/>
        </w:rPr>
      </w:pPr>
      <w:r>
        <w:rPr>
          <w:color w:val="000000"/>
          <w:sz w:val="22"/>
        </w:rPr>
        <w:t>Response:  Transwestern will keep all revenue from the sale of options.</w:t>
      </w:r>
    </w:p>
    <w:p>
      <w:pPr>
        <w:pStyle w:val="Normal"/>
        <w:spacing w:lineRule="atLeast" w:line="240"/>
        <w:rPr>
          <w:color w:val="000000"/>
          <w:sz w:val="22"/>
        </w:rPr>
      </w:pPr>
      <w:r>
        <w:rPr>
          <w:color w:val="000000"/>
          <w:sz w:val="22"/>
        </w:rPr>
      </w:r>
    </w:p>
    <w:p>
      <w:pPr>
        <w:pStyle w:val="Normal"/>
        <w:spacing w:lineRule="atLeast" w:line="240"/>
        <w:rPr>
          <w:color w:val="000000"/>
          <w:sz w:val="22"/>
        </w:rPr>
      </w:pPr>
      <w:r>
        <w:rPr>
          <w:color w:val="000000"/>
          <w:sz w:val="22"/>
        </w:rPr>
        <w:t>8.</w:t>
        <w:tab/>
        <w:t>Pilot Program.  Given the precedential nature of this proposal, perhaps the industry would be more comfortable with the TOP if it were filed as an experimental program on TW, with a finite life.  This would allow parties to gain experience prior to having all of the Enron pipelines (and others) file for similar authority.</w:t>
      </w:r>
    </w:p>
    <w:p>
      <w:pPr>
        <w:pStyle w:val="Normal"/>
        <w:spacing w:lineRule="atLeast" w:line="240"/>
        <w:rPr>
          <w:color w:val="000000"/>
          <w:sz w:val="22"/>
        </w:rPr>
      </w:pPr>
      <w:r>
        <w:rPr>
          <w:color w:val="000000"/>
          <w:sz w:val="22"/>
        </w:rPr>
      </w:r>
    </w:p>
    <w:p>
      <w:pPr>
        <w:pStyle w:val="Normal"/>
        <w:rPr>
          <w:sz w:val="22"/>
        </w:rPr>
      </w:pPr>
      <w:r>
        <w:rPr>
          <w:sz w:val="22"/>
        </w:rPr>
        <w:t>Response:  TW does not plan to voluntarily limit its sale of options to a specified time frame.  If experience shows that changes to the initially-approved tariff provisions are needed, Transwestern will consider those changes as the need arises.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2000-08-30T16:21:00Z</dcterms:created>
  <dc:creator>Susan Scott</dc:creator>
  <dc:description/>
  <dc:language>en-CA</dc:language>
  <cp:lastModifiedBy>ETS</cp:lastModifiedBy>
  <dcterms:modified xsi:type="dcterms:W3CDTF">2000-08-31T00:34:00Z</dcterms:modified>
  <cp:revision>3</cp:revision>
  <dc:subject/>
  <dc:title>Answers to Pete Frost's questions:</dc:title>
</cp:coreProperties>
</file>