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4"/>
        </w:rPr>
      </w:pPr>
      <w:r>
        <w:rPr>
          <w:b/>
          <w:sz w:val="24"/>
        </w:rPr>
        <w:t>Privileged and Confidential;</w:t>
      </w:r>
    </w:p>
    <w:p>
      <w:pPr>
        <w:pStyle w:val="Normal"/>
        <w:jc w:val="end"/>
        <w:rPr>
          <w:b/>
          <w:sz w:val="24"/>
        </w:rPr>
      </w:pPr>
      <w:r>
        <w:rPr>
          <w:b/>
          <w:sz w:val="24"/>
        </w:rPr>
        <w:t>Attorney Client Work Product;</w:t>
      </w:r>
    </w:p>
    <w:p>
      <w:pPr>
        <w:pStyle w:val="Heading1"/>
        <w:ind w:hanging="0" w:start="0"/>
        <w:rPr>
          <w:rFonts w:ascii="Times New Roman" w:hAnsi="Times New Roman" w:cs="Times New Roman"/>
        </w:rPr>
      </w:pPr>
      <w:r>
        <w:rPr>
          <w:rFonts w:cs="Times New Roman" w:ascii="Times New Roman" w:hAnsi="Times New Roman"/>
        </w:rPr>
        <w:t>Not Discoverable</w:t>
      </w:r>
    </w:p>
    <w:p>
      <w:pPr>
        <w:pStyle w:val="Heading2"/>
        <w:ind w:hanging="0" w:start="0"/>
        <w:rPr>
          <w:rFonts w:ascii="Times New Roman" w:hAnsi="Times New Roman" w:cs="Times New Roman"/>
        </w:rPr>
      </w:pPr>
      <w:r>
        <w:rPr>
          <w:rFonts w:cs="Times New Roman" w:ascii="Times New Roman" w:hAnsi="Times New Roman"/>
        </w:rPr>
        <w:t>Legal Risk Memorandum</w:t>
      </w:r>
    </w:p>
    <w:p>
      <w:pPr>
        <w:pStyle w:val="Normal"/>
        <w:ind w:start="72" w:end="0"/>
        <w:rPr>
          <w:rFonts w:ascii="Arial" w:hAnsi="Arial" w:cs="Arial"/>
          <w:sz w:val="16"/>
        </w:rPr>
      </w:pPr>
      <w:r>
        <w:rPr>
          <w:rFonts w:cs="Arial" w:ascii="Arial" w:hAnsi="Arial"/>
          <w:sz w:val="16"/>
        </w:rPr>
      </w:r>
    </w:p>
    <w:p>
      <w:pPr>
        <w:pStyle w:val="Heading3"/>
        <w:rPr/>
      </w:pPr>
      <w:r>
        <w:rPr/>
        <w:t>To:</w:t>
        <w:tab/>
        <w:tab/>
        <w:tab/>
        <w:t xml:space="preserve">Mark Haedicke </w:t>
      </w:r>
    </w:p>
    <w:p>
      <w:pPr>
        <w:pStyle w:val="Normal"/>
        <w:ind w:end="-180"/>
        <w:rPr>
          <w:b/>
          <w:bCs/>
          <w:sz w:val="22"/>
        </w:rPr>
      </w:pPr>
      <w:r>
        <w:rPr>
          <w:b/>
          <w:bCs/>
          <w:sz w:val="22"/>
        </w:rPr>
        <w:t>From:</w:t>
        <w:tab/>
        <w:tab/>
        <w:tab/>
        <w:t xml:space="preserve">David Portz, ENA Legal </w:t>
      </w:r>
    </w:p>
    <w:p>
      <w:pPr>
        <w:pStyle w:val="BlockText"/>
        <w:rPr/>
      </w:pPr>
      <w:r>
        <w:rPr/>
        <w:t>Subject:</w:t>
        <w:tab/>
        <w:t>Legal Risk Memo - EPMI proposed execution of Standard Form Qualified Scheduling Entity Agreement with the Electric Reliability Council of Texas, Inc. (“ERCOT”)</w:t>
      </w:r>
    </w:p>
    <w:p>
      <w:pPr>
        <w:pStyle w:val="Normal"/>
        <w:ind w:firstLine="720" w:start="1440" w:end="-180"/>
        <w:rPr>
          <w:b/>
          <w:bCs/>
          <w:sz w:val="22"/>
        </w:rPr>
      </w:pPr>
      <w:r>
        <w:rPr>
          <w:b/>
          <w:bCs/>
          <w:sz w:val="22"/>
        </w:rPr>
        <w:t xml:space="preserve"> </w:t>
      </w:r>
    </w:p>
    <w:p>
      <w:pPr>
        <w:pStyle w:val="Heading3"/>
        <w:rPr/>
      </w:pPr>
      <w:r>
        <w:rPr/>
        <w:t xml:space="preserve">Legal Risk Rating:  </w:t>
        <w:tab/>
        <w:t>[4/5]</w:t>
      </w:r>
    </w:p>
    <w:p>
      <w:pPr>
        <w:pStyle w:val="Normal"/>
        <w:ind w:end="-180"/>
        <w:rPr>
          <w:b/>
          <w:bCs/>
          <w:sz w:val="22"/>
        </w:rPr>
      </w:pPr>
      <w:r>
        <w:rPr>
          <w:b/>
          <w:bCs/>
          <w:sz w:val="22"/>
        </w:rPr>
        <w:t>Date:</w:t>
        <w:tab/>
        <w:tab/>
        <w:tab/>
        <w:t>March __, 2001</w:t>
      </w:r>
    </w:p>
    <w:p>
      <w:pPr>
        <w:pStyle w:val="Normal"/>
        <w:ind w:end="-180"/>
        <w:rPr>
          <w:b/>
          <w:bCs/>
          <w:sz w:val="24"/>
        </w:rPr>
      </w:pPr>
      <w:r>
        <w:rPr>
          <w:b/>
          <w:bCs/>
          <w:sz w:val="24"/>
        </w:rPr>
      </w:r>
    </w:p>
    <w:p>
      <w:pPr>
        <w:pStyle w:val="BlockText"/>
        <w:ind w:hanging="0" w:start="0" w:end="-180"/>
        <w:jc w:val="both"/>
        <w:rPr/>
      </w:pPr>
      <w:r>
        <w:rPr/>
        <w:t>A.</w:t>
        <w:tab/>
      </w:r>
      <w:r>
        <w:rPr>
          <w:u w:val="single"/>
        </w:rPr>
        <w:t>Execution of Agreement as Prerequisite to QSE Services Business in ERCOT</w:t>
      </w:r>
      <w:r>
        <w:rPr/>
        <w:t xml:space="preserve">.  </w:t>
      </w:r>
      <w:r>
        <w:rPr>
          <w:b w:val="false"/>
          <w:bCs w:val="false"/>
        </w:rPr>
        <w:t xml:space="preserve">On application by Enron Power Marketing, Inc. (“EPMI”) to serve as a Qualified Scheduling Entity (“QSE”) in the ERCOT restructured marketplace, ERCOT has provided EPMI a “Standard Form Qualified Scheduling Entity Agreement” (“Agreement”) for EPMI’s countersignature.  This Agreement is a standard format mandated by the ERCOT Protocols (see below) for execution by each entity that will act as a QSE in the ERCOT marketplace – it cannot be altered by the signatories. See the attached Agreement for specific terms. </w:t>
      </w:r>
    </w:p>
    <w:p>
      <w:pPr>
        <w:pStyle w:val="Normal"/>
        <w:jc w:val="both"/>
        <w:rPr>
          <w:b/>
          <w:bCs/>
          <w:sz w:val="22"/>
        </w:rPr>
      </w:pPr>
      <w:r>
        <w:rPr>
          <w:b/>
          <w:bCs/>
          <w:sz w:val="22"/>
        </w:rPr>
      </w:r>
    </w:p>
    <w:p>
      <w:pPr>
        <w:pStyle w:val="Normal"/>
        <w:ind w:firstLine="720" w:end="-180"/>
        <w:jc w:val="both"/>
        <w:rPr>
          <w:sz w:val="22"/>
        </w:rPr>
      </w:pPr>
      <w:r>
        <w:rPr>
          <w:sz w:val="22"/>
        </w:rPr>
        <w:t xml:space="preserve">The anticipated structure and operation of the ERCOT marketplace are summarized in the ERCOT Market Guide (attached (2/22/01 version)) and detailed in “Protocols” drafted in a collaborative process of ERCOT, ERCOT market participants and other stakeholders. The Protocols require QSEs as intermediaries performing scheduling and settlement functions for all generation and for all load in the ERCOT marketplace.  Unlike California SCs, QSEs shall not take title to energy flowing between market participants, but will be responsible for submitting balanced energy schedules for those entities it represents, and for settling with ERCOT (as a pass-through entity) in relation to any charges for ancillary services provided and scheduled via ERCOT to balance scheduled energy flowing on the ERCOT grid.   </w:t>
      </w:r>
    </w:p>
    <w:p>
      <w:pPr>
        <w:pStyle w:val="Normal"/>
        <w:jc w:val="both"/>
        <w:rPr>
          <w:b/>
          <w:sz w:val="22"/>
          <w:u w:val="single"/>
        </w:rPr>
      </w:pPr>
      <w:r>
        <w:rPr>
          <w:b/>
          <w:sz w:val="22"/>
          <w:u w:val="single"/>
        </w:rPr>
      </w:r>
    </w:p>
    <w:p>
      <w:pPr>
        <w:pStyle w:val="Normal"/>
        <w:ind w:end="-180"/>
        <w:jc w:val="both"/>
        <w:rPr/>
      </w:pPr>
      <w:r>
        <w:rPr>
          <w:b/>
          <w:sz w:val="22"/>
        </w:rPr>
        <w:t>B.</w:t>
        <w:tab/>
      </w:r>
      <w:r>
        <w:rPr>
          <w:b/>
          <w:sz w:val="22"/>
          <w:u w:val="single"/>
        </w:rPr>
        <w:t>Legal Risks</w:t>
      </w:r>
      <w:r>
        <w:rPr>
          <w:sz w:val="22"/>
        </w:rPr>
        <w:t>.  The following lists some of the major legal risks involved, and to the extent applicable, mitigating factors:</w:t>
      </w:r>
    </w:p>
    <w:p>
      <w:pPr>
        <w:pStyle w:val="Normal"/>
        <w:ind w:hanging="360" w:end="-180"/>
        <w:jc w:val="both"/>
        <w:rPr>
          <w:sz w:val="22"/>
        </w:rPr>
      </w:pPr>
      <w:r>
        <w:rPr>
          <w:sz w:val="22"/>
        </w:rPr>
        <w:tab/>
      </w:r>
    </w:p>
    <w:p>
      <w:pPr>
        <w:pStyle w:val="Normal"/>
        <w:numPr>
          <w:ilvl w:val="0"/>
          <w:numId w:val="2"/>
        </w:numPr>
        <w:tabs>
          <w:tab w:val="left" w:pos="0" w:leader="none"/>
          <w:tab w:val="left" w:pos="720" w:leader="none"/>
          <w:tab w:val="left" w:pos="1440" w:leader="none"/>
          <w:tab w:val="left" w:pos="4248" w:leader="none"/>
          <w:tab w:val="left" w:pos="10188" w:leader="none"/>
        </w:tabs>
        <w:ind w:firstLine="360" w:start="0" w:end="-180"/>
        <w:jc w:val="both"/>
        <w:rPr>
          <w:sz w:val="22"/>
        </w:rPr>
      </w:pPr>
      <w:r>
        <w:rPr>
          <w:b/>
          <w:sz w:val="22"/>
          <w:u w:val="single"/>
        </w:rPr>
        <w:t>Regulatory Uncertainty Regarding the ERCOT Protocols Governing during the Contract Term.</w:t>
      </w:r>
      <w:r>
        <w:rPr>
          <w:b/>
          <w:sz w:val="22"/>
        </w:rPr>
        <w:t xml:space="preserve">   </w:t>
      </w:r>
      <w:r>
        <w:rPr>
          <w:sz w:val="22"/>
        </w:rPr>
        <w:t xml:space="preserve">The Agreement incorporates and makes binding on its signatories the provisions of the Protocols without identifying specific provisions of such document. Risks presented are (1) </w:t>
      </w:r>
      <w:r>
        <w:rPr>
          <w:i/>
          <w:iCs/>
          <w:sz w:val="22"/>
        </w:rPr>
        <w:t xml:space="preserve">The Protocols’ terms will remain in flux: </w:t>
      </w:r>
      <w:r>
        <w:rPr>
          <w:bCs/>
          <w:sz w:val="22"/>
        </w:rPr>
        <w:t xml:space="preserve">The Protocols have not yet been finalized with Public Utility District Texas (“PUCT”) approval, and following the inauguration of the restructured marketplace in January 2002, further regulatory changes are expected to take place, with effects on the parties’ obligations which cannot be anticipated. (2) </w:t>
      </w:r>
      <w:r>
        <w:rPr>
          <w:bCs/>
          <w:i/>
          <w:iCs/>
          <w:sz w:val="22"/>
        </w:rPr>
        <w:t>It is difficult to track the operative terms representing binding obligations of the parties.</w:t>
      </w:r>
      <w:r>
        <w:rPr>
          <w:bCs/>
          <w:sz w:val="22"/>
        </w:rPr>
        <w:t xml:space="preserve"> The Protocols are lenghty and complex, and the set of each type of Market Participant’s duties are difficult to isolate with precision. The </w:t>
      </w:r>
      <w:r>
        <w:rPr>
          <w:sz w:val="22"/>
        </w:rPr>
        <w:t>items below treat certain material terms of the Agreement in combination with the Protocols. (3)</w:t>
      </w:r>
      <w:r>
        <w:rPr>
          <w:i/>
          <w:iCs/>
          <w:sz w:val="22"/>
        </w:rPr>
        <w:t xml:space="preserve"> Parties bear risk of material adverse change to binding provisions.</w:t>
      </w:r>
      <w:r>
        <w:rPr>
          <w:sz w:val="22"/>
        </w:rPr>
        <w:t xml:space="preserve"> Beyond the difficulty of tracking contractual obligations dispersed across [400] plus pages of the Protocols is the risk of change to the Protocols in a manner adverse to EPMI’s interests.  Mitigating this risk is the procedure that the Protocols will not be changed without notice to and input from market participants, and that the Agreement can be terminated on 30 days’ notice by EPMI. </w:t>
      </w:r>
    </w:p>
    <w:p>
      <w:pPr>
        <w:pStyle w:val="Normal"/>
        <w:tabs>
          <w:tab w:val="clear" w:pos="720"/>
          <w:tab w:val="left" w:pos="1440" w:leader="none"/>
          <w:tab w:val="left" w:pos="4248" w:leader="none"/>
          <w:tab w:val="left" w:pos="10188" w:leader="none"/>
        </w:tabs>
        <w:ind w:end="-180"/>
        <w:jc w:val="both"/>
        <w:rPr>
          <w:sz w:val="22"/>
        </w:rPr>
      </w:pPr>
      <w:r>
        <w:rPr>
          <w:sz w:val="22"/>
        </w:rPr>
      </w:r>
    </w:p>
    <w:p>
      <w:pPr>
        <w:pStyle w:val="BodyText"/>
        <w:rPr/>
      </w:pPr>
      <w:r>
        <w:rPr/>
        <w:tab/>
        <w:t>[At present, the Protocols do not treat two issues which have generated legal risk in the California ISO context, though the Protocols could in the future address such matters and create exposures for ERCOT market participants. No general prohibition of ‘gaming’ the system is stated or liabilities imposed, to treat a party’s violation of the ‘spirit’ of the Protocols which adversely affects the marketplace or takes advantage of other market participants.  Nor is any provision present treating the consequence of third-party QSE defaults -- in the California context, amounts not paid by a defaulting Scheduling Coordinator (“SC”) were within certain limits to be reallocated by the California ISO to the remaining SCs, with the California ISO retaining no exposure.”]</w:t>
      </w:r>
    </w:p>
    <w:p>
      <w:pPr>
        <w:pStyle w:val="BodyText"/>
        <w:rPr/>
      </w:pPr>
      <w:r>
        <w:rPr/>
      </w:r>
    </w:p>
    <w:p>
      <w:pPr>
        <w:pStyle w:val="Normal"/>
        <w:numPr>
          <w:ilvl w:val="0"/>
          <w:numId w:val="2"/>
        </w:numPr>
        <w:tabs>
          <w:tab w:val="left" w:pos="0" w:leader="none"/>
          <w:tab w:val="left" w:pos="720" w:leader="none"/>
          <w:tab w:val="left" w:pos="4248" w:leader="none"/>
          <w:tab w:val="left" w:pos="10188" w:leader="none"/>
        </w:tabs>
        <w:ind w:firstLine="360" w:start="0" w:end="-180"/>
        <w:jc w:val="both"/>
        <w:rPr>
          <w:b/>
          <w:bCs/>
          <w:sz w:val="22"/>
        </w:rPr>
      </w:pPr>
      <w:r>
        <w:rPr>
          <w:b/>
          <w:bCs/>
          <w:sz w:val="22"/>
          <w:u w:val="single"/>
        </w:rPr>
        <w:t>EPMI’s Credit Position as Intermediary</w:t>
      </w:r>
      <w:r>
        <w:rPr>
          <w:b/>
          <w:bCs/>
          <w:sz w:val="22"/>
        </w:rPr>
        <w:t>.</w:t>
      </w:r>
      <w:r>
        <w:rPr>
          <w:sz w:val="22"/>
        </w:rPr>
        <w:t xml:space="preserve">  A QSE will act as a pass-through entity in settlement of financial accounts relating to Ancillary Services between the ERCOT ISO and the Customer. Credit terms are not a part of the excuted Agreement, but “QSE Financial Security” requirements are contained in Protocols Section 16.2.5 </w:t>
      </w:r>
      <w:r>
        <w:rPr>
          <w:i/>
          <w:iCs/>
          <w:sz w:val="22"/>
        </w:rPr>
        <w:t>et seq.</w:t>
      </w:r>
      <w:r>
        <w:rPr>
          <w:sz w:val="22"/>
        </w:rPr>
        <w:t>.  Due to Enron Corp.’s credit standing, EPMI is not required to initially post security.  After 90 days’ operation of the market, ERCOT will calculate the QSE’s Aggregate Estimated Liability” (“EAL”), assess it vis-à-vis the QSE creditworthiness and absence of material adverse change to credit status, and require posting of collateral security if needed.  The ISO can suspend a QSE’s scheduling privilege if the EAL exceeds the posted security.  ERCOT’s security arangements may be satisfied by EPMI’s posting of a parent corporation guarantee.  No security arrangements are provided to EPMI by the ERCOT ISO, and EPMI depends on the ISO’s credit monitoring of and collections from other QSEs.</w:t>
      </w:r>
    </w:p>
    <w:p>
      <w:pPr>
        <w:pStyle w:val="Normal"/>
        <w:numPr>
          <w:ilvl w:val="0"/>
          <w:numId w:val="2"/>
        </w:numPr>
        <w:tabs>
          <w:tab w:val="left" w:pos="0" w:leader="none"/>
          <w:tab w:val="left" w:pos="720" w:leader="none"/>
          <w:tab w:val="left" w:pos="4248" w:leader="none"/>
          <w:tab w:val="left" w:pos="10188" w:leader="none"/>
        </w:tabs>
        <w:ind w:firstLine="360" w:start="0" w:end="-180"/>
        <w:jc w:val="both"/>
        <w:rPr>
          <w:b/>
          <w:bCs/>
          <w:sz w:val="22"/>
        </w:rPr>
      </w:pPr>
      <w:r>
        <w:rPr>
          <w:b/>
          <w:bCs/>
          <w:sz w:val="22"/>
          <w:u w:val="single"/>
        </w:rPr>
        <w:t>Matching of Upstream and Downstream Contract Obligations.</w:t>
      </w:r>
      <w:r>
        <w:rPr>
          <w:b/>
          <w:bCs/>
        </w:rPr>
        <w:t xml:space="preserve"> </w:t>
      </w:r>
      <w:r>
        <w:rPr/>
        <w:t xml:space="preserve"> </w:t>
      </w:r>
      <w:r>
        <w:rPr>
          <w:sz w:val="22"/>
        </w:rPr>
        <w:t>EPMI will not have obligations or incur liability under the QSE Agreement unless and until it acts as QSE for third parties.  EPMI will provide QSE services to customers under contracts (“Downstream Services Contracts”) to be negotiated separately with each. Such format of contract is currently in draft, and will include provisions making customers responsible for indemnifying EPMI as to actions and liabilities</w:t>
      </w:r>
      <w:r>
        <w:rPr/>
        <w:t xml:space="preserve"> to </w:t>
      </w:r>
      <w:r>
        <w:rPr>
          <w:sz w:val="22"/>
        </w:rPr>
        <w:t>the maximum extent possible, and will disclaim any fiduciary duties to Customers.  Such format of agreement is subject to a separate legal risk memorandum.</w:t>
      </w:r>
    </w:p>
    <w:p>
      <w:pPr>
        <w:pStyle w:val="Normal"/>
        <w:numPr>
          <w:ilvl w:val="0"/>
          <w:numId w:val="2"/>
        </w:numPr>
        <w:tabs>
          <w:tab w:val="left" w:pos="0" w:leader="none"/>
          <w:tab w:val="left" w:pos="720" w:leader="none"/>
          <w:tab w:val="left" w:pos="4248" w:leader="none"/>
          <w:tab w:val="left" w:pos="10188" w:leader="none"/>
        </w:tabs>
        <w:ind w:firstLine="360" w:start="0" w:end="-180"/>
        <w:jc w:val="both"/>
        <w:rPr>
          <w:sz w:val="22"/>
        </w:rPr>
      </w:pPr>
      <w:r>
        <w:rPr>
          <w:b/>
          <w:bCs/>
          <w:sz w:val="22"/>
          <w:u w:val="single"/>
        </w:rPr>
        <w:t>Force Majeure Events</w:t>
      </w:r>
      <w:r>
        <w:rPr>
          <w:sz w:val="22"/>
        </w:rPr>
        <w:t xml:space="preserve">.  “Force Majeure Events” are not defined using a strict wholesale trading marketplace standard, but incorporates the definition established in the Protocols for all the ERCOT Standard Agreements.  Risk exists that the definition may support claims for excused performance based on events “capable of being overcome” by the claiming party, or which could have been anticipated.  Notice of a Force Majeure Event is due as soon as possible but in any case within 14 days of the event (a long notice period period), or else the claim of Force Majeure is waived. </w:t>
      </w:r>
    </w:p>
    <w:p>
      <w:pPr>
        <w:pStyle w:val="Normal"/>
        <w:numPr>
          <w:ilvl w:val="0"/>
          <w:numId w:val="2"/>
        </w:numPr>
        <w:tabs>
          <w:tab w:val="left" w:pos="0" w:leader="none"/>
          <w:tab w:val="left" w:pos="720" w:leader="none"/>
          <w:tab w:val="left" w:pos="4248" w:leader="none"/>
          <w:tab w:val="left" w:pos="10188" w:leader="none"/>
        </w:tabs>
        <w:ind w:firstLine="360" w:start="0" w:end="-180"/>
        <w:jc w:val="both"/>
        <w:rPr>
          <w:b/>
          <w:bCs/>
          <w:sz w:val="22"/>
        </w:rPr>
      </w:pPr>
      <w:r>
        <w:rPr>
          <w:b/>
          <w:bCs/>
          <w:sz w:val="22"/>
          <w:u w:val="single"/>
        </w:rPr>
        <w:t>Events of Default, Cure Periods and Termination.</w:t>
      </w:r>
      <w:r>
        <w:rPr>
          <w:sz w:val="22"/>
        </w:rPr>
        <w:t xml:space="preserve">  Section 8 specifies periods required for various circumstances to mature into “Events of Default”(3 days for non-payment, 14 days for other material breaches, and immediately upon a party’s bankruptcy, excepting involuntary proceedings dismissed within 90 days afterwards.) An additional 14 days’ cure period is then specified for any resulting Event of Default other than those relating to non-payments. EPMI’s and ERCOT’s remedies for default are not flush – ERCOT may pursue “all remedies available under law or equity”, while EPMI is limited to temination, monetary recovery in accordance with Settlement Process in the Protocols, or specific performance. </w:t>
      </w:r>
    </w:p>
    <w:p>
      <w:pPr>
        <w:pStyle w:val="Normal"/>
        <w:numPr>
          <w:ilvl w:val="0"/>
          <w:numId w:val="2"/>
        </w:numPr>
        <w:tabs>
          <w:tab w:val="left" w:pos="0" w:leader="none"/>
          <w:tab w:val="left" w:pos="720" w:leader="none"/>
          <w:tab w:val="left" w:pos="4248" w:leader="none"/>
          <w:tab w:val="left" w:pos="10188" w:leader="none"/>
        </w:tabs>
        <w:ind w:firstLine="360" w:start="0" w:end="-180"/>
        <w:jc w:val="both"/>
        <w:rPr>
          <w:b/>
          <w:bCs/>
          <w:sz w:val="22"/>
        </w:rPr>
      </w:pPr>
      <w:r>
        <w:rPr>
          <w:b/>
          <w:bCs/>
          <w:sz w:val="22"/>
          <w:u w:val="single"/>
        </w:rPr>
        <w:t>Audit Rights.</w:t>
      </w:r>
      <w:r>
        <w:rPr>
          <w:sz w:val="22"/>
        </w:rPr>
        <w:t xml:space="preserve">  EPMI will be subject to 3 year aucdit rights by the ERCOT ISO.</w:t>
      </w:r>
    </w:p>
    <w:p>
      <w:pPr>
        <w:pStyle w:val="Normal"/>
        <w:numPr>
          <w:ilvl w:val="0"/>
          <w:numId w:val="2"/>
        </w:numPr>
        <w:tabs>
          <w:tab w:val="left" w:pos="0" w:leader="none"/>
          <w:tab w:val="left" w:pos="720" w:leader="none"/>
          <w:tab w:val="left" w:pos="4248" w:leader="none"/>
          <w:tab w:val="left" w:pos="10188" w:leader="none"/>
        </w:tabs>
        <w:ind w:firstLine="360" w:start="0" w:end="-180"/>
        <w:jc w:val="both"/>
        <w:rPr>
          <w:b/>
          <w:bCs/>
          <w:sz w:val="22"/>
        </w:rPr>
      </w:pPr>
      <w:r>
        <w:rPr>
          <w:b/>
          <w:bCs/>
          <w:sz w:val="22"/>
          <w:u w:val="single"/>
        </w:rPr>
        <w:t>ADR.</w:t>
      </w:r>
      <w:r>
        <w:rPr>
          <w:sz w:val="22"/>
        </w:rPr>
        <w:t xml:space="preserve">  The Protocols’ Section 20 ADR procedure is applicable, which potentially sends the parties through mediation, then arbitration, then to the PUCT and/or the courts</w:t>
      </w:r>
    </w:p>
    <w:p>
      <w:pPr>
        <w:pStyle w:val="Normal"/>
        <w:numPr>
          <w:ilvl w:val="0"/>
          <w:numId w:val="2"/>
        </w:numPr>
        <w:tabs>
          <w:tab w:val="left" w:pos="0" w:leader="none"/>
          <w:tab w:val="left" w:pos="720" w:leader="none"/>
          <w:tab w:val="left" w:pos="4248" w:leader="none"/>
          <w:tab w:val="left" w:pos="10188" w:leader="none"/>
        </w:tabs>
        <w:ind w:firstLine="360" w:start="0" w:end="-180"/>
        <w:jc w:val="both"/>
        <w:rPr>
          <w:b/>
          <w:bCs/>
          <w:sz w:val="22"/>
        </w:rPr>
      </w:pPr>
      <w:r>
        <w:rPr>
          <w:b/>
          <w:bCs/>
          <w:sz w:val="22"/>
          <w:u w:val="single"/>
        </w:rPr>
        <w:t>Forum Selection Clause.</w:t>
      </w:r>
      <w:r>
        <w:rPr>
          <w:sz w:val="22"/>
        </w:rPr>
        <w:t xml:space="preserve">   The state and federal courts of Travis County are mandated, a jurisdiction which might be veuiewed as more favorable to ERCOT than EPMI.</w:t>
      </w:r>
    </w:p>
    <w:p>
      <w:pPr>
        <w:pStyle w:val="Normal"/>
        <w:tabs>
          <w:tab w:val="clear" w:pos="720"/>
          <w:tab w:val="left" w:pos="4248" w:leader="none"/>
          <w:tab w:val="left" w:pos="10188" w:leader="none"/>
        </w:tabs>
        <w:ind w:firstLine="90" w:start="-90" w:end="-180"/>
        <w:jc w:val="both"/>
        <w:rPr>
          <w:b/>
          <w:bCs/>
          <w:sz w:val="22"/>
        </w:rPr>
      </w:pPr>
      <w:r>
        <w:rPr>
          <w:b/>
          <w:bCs/>
          <w:sz w:val="22"/>
        </w:rPr>
      </w:r>
    </w:p>
    <w:p>
      <w:pPr>
        <w:pStyle w:val="Normal"/>
        <w:ind w:end="-180"/>
        <w:jc w:val="both"/>
        <w:rPr>
          <w:sz w:val="22"/>
        </w:rPr>
      </w:pPr>
      <w:r>
        <w:rPr>
          <w:sz w:val="22"/>
        </w:rPr>
        <w:t>cc:</w:t>
        <w:tab/>
        <w:t>John Lavorado</w:t>
        <w:tab/>
        <w:tab/>
        <w:tab/>
        <w:tab/>
      </w:r>
    </w:p>
    <w:p>
      <w:pPr>
        <w:pStyle w:val="Normal"/>
        <w:ind w:firstLine="720" w:end="-180"/>
        <w:jc w:val="both"/>
        <w:rPr>
          <w:sz w:val="22"/>
        </w:rPr>
      </w:pPr>
      <w:r>
        <w:rPr>
          <w:sz w:val="22"/>
        </w:rPr>
        <w:t>Kevin Presto</w:t>
      </w:r>
    </w:p>
    <w:p>
      <w:pPr>
        <w:pStyle w:val="Normal"/>
        <w:ind w:firstLine="720" w:end="-180"/>
        <w:jc w:val="both"/>
        <w:rPr>
          <w:sz w:val="22"/>
        </w:rPr>
      </w:pPr>
      <w:r>
        <w:rPr>
          <w:sz w:val="22"/>
        </w:rPr>
        <w:t>Bruce Sukalay</w:t>
        <w:tab/>
        <w:tab/>
        <w:tab/>
      </w:r>
    </w:p>
    <w:p>
      <w:pPr>
        <w:pStyle w:val="Normal"/>
        <w:ind w:firstLine="540" w:start="180" w:end="-180"/>
        <w:jc w:val="both"/>
        <w:rPr>
          <w:sz w:val="22"/>
        </w:rPr>
      </w:pPr>
      <w:r>
        <w:rPr>
          <w:sz w:val="22"/>
        </w:rPr>
        <w:t>Doug Gilbert-Smith</w:t>
      </w:r>
    </w:p>
    <w:p>
      <w:pPr>
        <w:pStyle w:val="Normal"/>
        <w:ind w:firstLine="720" w:end="-180"/>
        <w:jc w:val="both"/>
        <w:rPr>
          <w:sz w:val="22"/>
        </w:rPr>
      </w:pPr>
      <w:r>
        <w:rPr>
          <w:sz w:val="22"/>
        </w:rPr>
        <w:t>Elizabeth Sager</w:t>
      </w:r>
    </w:p>
    <w:p>
      <w:pPr>
        <w:pStyle w:val="Normal"/>
        <w:ind w:firstLine="540" w:start="180" w:end="-180"/>
        <w:jc w:val="both"/>
        <w:rPr>
          <w:sz w:val="22"/>
        </w:rPr>
      </w:pPr>
      <w:r>
        <w:rPr>
          <w:sz w:val="22"/>
        </w:rPr>
        <w:tab/>
        <w:tab/>
        <w:tab/>
        <w:tab/>
      </w:r>
    </w:p>
    <w:sectPr>
      <w:footerReference w:type="default" r:id="rId2"/>
      <w:footerReference w:type="first" r:id="rId3"/>
      <w:type w:val="nextPage"/>
      <w:pgSz w:w="12240" w:h="15840"/>
      <w:pgMar w:left="1440" w:right="1440" w:gutter="0" w:header="0" w:top="720" w:footer="83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/mnt/main-storage/datasets/enron-docs/doc/QSE_ISO_AGR_RiskMemo_draft.doc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b/>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b/>
      <w:sz w:val="32"/>
    </w:rPr>
  </w:style>
  <w:style w:type="paragraph" w:styleId="Heading3">
    <w:name w:val="heading 3"/>
    <w:basedOn w:val="Normal"/>
    <w:next w:val="Normal"/>
    <w:qFormat/>
    <w:pPr>
      <w:keepNext w:val="true"/>
      <w:numPr>
        <w:ilvl w:val="2"/>
        <w:numId w:val="1"/>
      </w:numPr>
      <w:ind w:hanging="0" w:start="0" w:end="-180"/>
      <w:outlineLvl w:val="2"/>
    </w:pPr>
    <w:rPr>
      <w:b/>
      <w:bCs/>
      <w:sz w:val="22"/>
    </w:rPr>
  </w:style>
  <w:style w:type="paragraph" w:styleId="Heading4">
    <w:name w:val="heading 4"/>
    <w:basedOn w:val="Normal"/>
    <w:next w:val="Normal"/>
    <w:qFormat/>
    <w:pPr>
      <w:keepNext w:val="true"/>
      <w:numPr>
        <w:ilvl w:val="3"/>
        <w:numId w:val="1"/>
      </w:numPr>
      <w:tabs>
        <w:tab w:val="clear" w:pos="720"/>
        <w:tab w:val="left" w:pos="1440" w:leader="none"/>
        <w:tab w:val="left" w:pos="4248" w:leader="none"/>
        <w:tab w:val="left" w:pos="10188" w:leader="none"/>
      </w:tabs>
      <w:ind w:hanging="0" w:start="360" w:end="-180"/>
      <w:jc w:val="both"/>
      <w:outlineLvl w:val="3"/>
    </w:pPr>
    <w:rPr>
      <w:bCs/>
      <w:sz w:val="22"/>
    </w:rPr>
  </w:style>
  <w:style w:type="character" w:styleId="WW8Num1z0">
    <w:name w:val="WW8Num1z0"/>
    <w:qFormat/>
    <w:rPr>
      <w:u w:val="single"/>
    </w:rPr>
  </w:style>
  <w:style w:type="character" w:styleId="WW8Num2z0">
    <w:name w:val="WW8Num2z0"/>
    <w:qFormat/>
    <w:rPr>
      <w:b/>
    </w:rPr>
  </w:style>
  <w:style w:type="character" w:styleId="WW8Num3z0">
    <w:name w:val="WW8Num3z0"/>
    <w:qFormat/>
    <w:rPr>
      <w:b/>
    </w:rPr>
  </w:style>
  <w:style w:type="character" w:styleId="WW8Num4z0">
    <w:name w:val="WW8Num4z0"/>
    <w:qFormat/>
    <w:rPr>
      <w:b/>
      <w:u w:val="singl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b/>
    </w:rPr>
  </w:style>
  <w:style w:type="character" w:styleId="WW8Num10z0">
    <w:name w:val="WW8Num10z0"/>
    <w:qFormat/>
    <w:rPr>
      <w:b/>
      <w:color w:val="000080"/>
      <w:sz w:val="22"/>
    </w:rPr>
  </w:style>
  <w:style w:type="character" w:styleId="WW8Num11z0">
    <w:name w:val="WW8Num11z0"/>
    <w:qFormat/>
    <w:rPr>
      <w:b/>
      <w:color w:val="000080"/>
      <w:sz w:val="22"/>
      <w:u w:val="single"/>
    </w:rPr>
  </w:style>
  <w:style w:type="character" w:styleId="WW8Num12z0">
    <w:name w:val="WW8Num12z0"/>
    <w:qFormat/>
    <w:rPr>
      <w:b/>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4248" w:leader="none"/>
        <w:tab w:val="left" w:pos="10188" w:leader="none"/>
      </w:tabs>
      <w:ind w:hanging="0" w:start="0" w:end="-18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2160" w:start="2160" w:end="-180"/>
    </w:pPr>
    <w:rPr>
      <w:b/>
      <w:bC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2001-02-09T19:20:00Z</dcterms:created>
  <dc:creator>dportz</dc:creator>
  <dc:description/>
  <dc:language>en-CA</dc:language>
  <cp:lastModifiedBy>dportz</cp:lastModifiedBy>
  <cp:lastPrinted>2001-03-22T10:44:00Z</cp:lastPrinted>
  <dcterms:modified xsi:type="dcterms:W3CDTF">2001-03-22T15:21:00Z</dcterms:modified>
  <cp:revision>61</cp:revision>
  <dc:subject/>
  <dc:title>Privileged and Confidential;</dc:title>
</cp:coreProperties>
</file>