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4"/>
        </w:rPr>
      </w:pPr>
      <w:r>
        <w:rPr>
          <w:b/>
          <w:sz w:val="24"/>
        </w:rPr>
        <w:t>Privileged and Confidential;</w:t>
      </w:r>
    </w:p>
    <w:p>
      <w:pPr>
        <w:pStyle w:val="Normal"/>
        <w:jc w:val="end"/>
        <w:rPr>
          <w:b/>
          <w:sz w:val="24"/>
        </w:rPr>
      </w:pPr>
      <w:r>
        <w:rPr>
          <w:b/>
          <w:sz w:val="24"/>
        </w:rPr>
        <w:t>Attorney Client Work Product;</w:t>
      </w:r>
    </w:p>
    <w:p>
      <w:pPr>
        <w:pStyle w:val="Heading1"/>
        <w:ind w:hanging="0" w:start="0"/>
        <w:rPr>
          <w:rFonts w:ascii="Times New Roman" w:hAnsi="Times New Roman" w:cs="Times New Roman"/>
        </w:rPr>
      </w:pPr>
      <w:r>
        <w:rPr>
          <w:rFonts w:cs="Times New Roman" w:ascii="Times New Roman" w:hAnsi="Times New Roman"/>
        </w:rPr>
        <w:t>Not Discoverable</w:t>
      </w:r>
    </w:p>
    <w:p>
      <w:pPr>
        <w:pStyle w:val="Heading2"/>
        <w:ind w:hanging="0" w:start="0"/>
        <w:rPr>
          <w:rFonts w:ascii="Times New Roman" w:hAnsi="Times New Roman" w:cs="Times New Roman"/>
        </w:rPr>
      </w:pPr>
      <w:r>
        <w:rPr>
          <w:rFonts w:cs="Times New Roman" w:ascii="Times New Roman" w:hAnsi="Times New Roman"/>
        </w:rPr>
        <w:t>Legal Risk Memorandum</w:t>
      </w:r>
    </w:p>
    <w:p>
      <w:pPr>
        <w:pStyle w:val="Normal"/>
        <w:ind w:start="72" w:end="0"/>
        <w:rPr>
          <w:rFonts w:ascii="Arial" w:hAnsi="Arial" w:cs="Arial"/>
          <w:sz w:val="16"/>
        </w:rPr>
      </w:pPr>
      <w:r>
        <w:rPr>
          <w:rFonts w:cs="Arial" w:ascii="Arial" w:hAnsi="Arial"/>
          <w:sz w:val="16"/>
        </w:rPr>
      </w:r>
    </w:p>
    <w:p>
      <w:pPr>
        <w:pStyle w:val="Heading3"/>
        <w:rPr/>
      </w:pPr>
      <w:r>
        <w:rPr/>
        <w:t>To:</w:t>
        <w:tab/>
        <w:tab/>
        <w:tab/>
        <w:t xml:space="preserve">Mark Haedicke </w:t>
      </w:r>
    </w:p>
    <w:p>
      <w:pPr>
        <w:pStyle w:val="Normal"/>
        <w:ind w:end="-180"/>
        <w:rPr>
          <w:b/>
          <w:bCs/>
          <w:sz w:val="22"/>
        </w:rPr>
      </w:pPr>
      <w:r>
        <w:rPr>
          <w:b/>
          <w:bCs/>
          <w:sz w:val="22"/>
        </w:rPr>
        <w:t>From:</w:t>
        <w:tab/>
        <w:tab/>
        <w:tab/>
        <w:t xml:space="preserve">David Portz, ENA Legal </w:t>
      </w:r>
    </w:p>
    <w:p>
      <w:pPr>
        <w:pStyle w:val="BlockText"/>
        <w:rPr/>
      </w:pPr>
      <w:r>
        <w:rPr/>
        <w:t>Subject:</w:t>
        <w:tab/>
        <w:t xml:space="preserve">Legal Risk Memo - EPMI proposed execution of Qualified Scheduling Entity Agreement with QSE Services customers in ERCOT </w:t>
      </w:r>
    </w:p>
    <w:p>
      <w:pPr>
        <w:pStyle w:val="Normal"/>
        <w:ind w:firstLine="720" w:start="1440" w:end="-180"/>
        <w:rPr>
          <w:b/>
          <w:bCs/>
          <w:sz w:val="22"/>
        </w:rPr>
      </w:pPr>
      <w:r>
        <w:rPr>
          <w:b/>
          <w:bCs/>
          <w:sz w:val="22"/>
        </w:rPr>
        <w:t xml:space="preserve"> </w:t>
      </w:r>
    </w:p>
    <w:p>
      <w:pPr>
        <w:pStyle w:val="Heading3"/>
        <w:rPr/>
      </w:pPr>
      <w:r>
        <w:rPr/>
        <w:t xml:space="preserve">Legal Risk Rating:  </w:t>
        <w:tab/>
        <w:t xml:space="preserve">[4/5] </w:t>
      </w:r>
    </w:p>
    <w:p>
      <w:pPr>
        <w:pStyle w:val="Normal"/>
        <w:ind w:end="-180"/>
        <w:rPr>
          <w:b/>
          <w:bCs/>
          <w:sz w:val="22"/>
        </w:rPr>
      </w:pPr>
      <w:r>
        <w:rPr>
          <w:b/>
          <w:bCs/>
          <w:sz w:val="22"/>
        </w:rPr>
        <w:t>Date:</w:t>
        <w:tab/>
        <w:tab/>
        <w:tab/>
        <w:t>______________, 2001</w:t>
      </w:r>
    </w:p>
    <w:p>
      <w:pPr>
        <w:pStyle w:val="Normal"/>
        <w:ind w:end="-180"/>
        <w:rPr>
          <w:b/>
          <w:bCs/>
          <w:sz w:val="24"/>
        </w:rPr>
      </w:pPr>
      <w:r>
        <w:rPr>
          <w:b/>
          <w:bCs/>
          <w:sz w:val="24"/>
        </w:rPr>
      </w:r>
    </w:p>
    <w:p>
      <w:pPr>
        <w:pStyle w:val="BlockText"/>
        <w:ind w:hanging="0" w:start="0" w:end="-180"/>
        <w:jc w:val="both"/>
        <w:rPr/>
      </w:pPr>
      <w:r>
        <w:rPr/>
        <w:t>A.</w:t>
        <w:tab/>
      </w:r>
      <w:r>
        <w:rPr>
          <w:u w:val="single"/>
        </w:rPr>
        <w:t>Agreement Template for EPMI’s Provision to Third Parties of QSE Services in ERCOT</w:t>
      </w:r>
      <w:r>
        <w:rPr/>
        <w:t xml:space="preserve">.  </w:t>
      </w:r>
      <w:r>
        <w:rPr>
          <w:b w:val="false"/>
          <w:bCs w:val="false"/>
        </w:rPr>
        <w:t xml:space="preserve">Upon qualification as a Qualified Scheduling Entity (“QSE”) in the Electric Reliability Council of Texas, Inc. (“ERCOT”) restructured electricity marketplace, Enron Power Marketing, Inc, (“EPMI”) would execute various “Qualified Scheduling Entity Services Agreements” (each an “Agreement”) with various third parties. Such third parties will be either Load Serving Entities (“LSEs”) or Power Generation Companies (“PGCs”).  See the attached Agreement for specific terms (the attachment is a format for an LSE, which would not substantially differ from PGC format contract). </w:t>
      </w:r>
    </w:p>
    <w:p>
      <w:pPr>
        <w:pStyle w:val="Normal"/>
        <w:jc w:val="both"/>
        <w:rPr>
          <w:b/>
          <w:bCs/>
          <w:sz w:val="22"/>
        </w:rPr>
      </w:pPr>
      <w:r>
        <w:rPr>
          <w:b/>
          <w:bCs/>
          <w:sz w:val="22"/>
        </w:rPr>
      </w:r>
    </w:p>
    <w:p>
      <w:pPr>
        <w:pStyle w:val="BodyText"/>
        <w:ind w:firstLine="720" w:end="-180"/>
        <w:rPr/>
      </w:pPr>
      <w:r>
        <w:rPr/>
        <w:t xml:space="preserve">The anticipated structure and operation of the ERCOT marketplace are summarized in the ERCOT Market Guide (attached) and detailed in “Protocols” drafted in a collaborative process of ERCOT, ERCOT market participants and other stakeholders. The Protocol require QSEs as intermediaries performing scheduling and settlement functions for all generation and for all load in the ERCOT marketplace.  Unlike California SCs, QSEs shall not take title to energy flowing between market participants, but will be responsible for submitting balanced energy schedules for those entities it represents, and for settling with ERCOT (as a pass-through entity) in relation to any charges for ancillary services provided via ERCOT to balance scheduled energy flowing on the ERCOT grid.   </w:t>
      </w:r>
    </w:p>
    <w:p>
      <w:pPr>
        <w:pStyle w:val="Normal"/>
        <w:jc w:val="both"/>
        <w:rPr>
          <w:b/>
          <w:sz w:val="22"/>
          <w:u w:val="single"/>
        </w:rPr>
      </w:pPr>
      <w:r>
        <w:rPr>
          <w:b/>
          <w:sz w:val="22"/>
          <w:u w:val="single"/>
        </w:rPr>
      </w:r>
    </w:p>
    <w:p>
      <w:pPr>
        <w:pStyle w:val="Normal"/>
        <w:ind w:end="-180"/>
        <w:jc w:val="both"/>
        <w:rPr/>
      </w:pPr>
      <w:r>
        <w:rPr>
          <w:b/>
          <w:sz w:val="22"/>
        </w:rPr>
        <w:t>B.</w:t>
        <w:tab/>
      </w:r>
      <w:r>
        <w:rPr>
          <w:b/>
          <w:sz w:val="22"/>
          <w:u w:val="single"/>
        </w:rPr>
        <w:t>Legal Risks</w:t>
      </w:r>
      <w:r>
        <w:rPr>
          <w:sz w:val="22"/>
        </w:rPr>
        <w:t>.  The following lists some of the major legal risks involved, and to the extent applicable, mitigating factors:</w:t>
      </w:r>
    </w:p>
    <w:p>
      <w:pPr>
        <w:pStyle w:val="Normal"/>
        <w:ind w:hanging="360" w:end="-180"/>
        <w:jc w:val="both"/>
        <w:rPr>
          <w:sz w:val="22"/>
        </w:rPr>
      </w:pPr>
      <w:r>
        <w:rPr>
          <w:sz w:val="22"/>
        </w:rPr>
        <w:tab/>
      </w:r>
    </w:p>
    <w:p>
      <w:pPr>
        <w:pStyle w:val="Normal"/>
        <w:numPr>
          <w:ilvl w:val="0"/>
          <w:numId w:val="2"/>
        </w:numPr>
        <w:tabs>
          <w:tab w:val="left" w:pos="0" w:leader="none"/>
          <w:tab w:val="left" w:pos="720" w:leader="none"/>
          <w:tab w:val="left" w:pos="1440" w:leader="none"/>
          <w:tab w:val="left" w:pos="4248" w:leader="none"/>
          <w:tab w:val="left" w:pos="10188" w:leader="none"/>
        </w:tabs>
        <w:ind w:firstLine="360" w:start="0" w:end="-180"/>
        <w:jc w:val="both"/>
        <w:rPr>
          <w:sz w:val="22"/>
        </w:rPr>
      </w:pPr>
      <w:r>
        <w:rPr>
          <w:b/>
          <w:sz w:val="22"/>
          <w:u w:val="single"/>
        </w:rPr>
        <w:t>Regulatory Uncertainty Regarding the ERCOT Protocols Governing during the Contract Term.</w:t>
      </w:r>
      <w:r>
        <w:rPr>
          <w:b/>
          <w:sz w:val="22"/>
        </w:rPr>
        <w:t xml:space="preserve">  </w:t>
      </w:r>
      <w:r>
        <w:rPr>
          <w:sz w:val="22"/>
        </w:rPr>
        <w:t xml:space="preserve">The Agreement incorporates and makes binding on its signatories the provisions of the Protocols without identifying specific provisions of such document. Risks presented are (1) </w:t>
      </w:r>
      <w:r>
        <w:rPr>
          <w:i/>
          <w:iCs/>
          <w:sz w:val="22"/>
        </w:rPr>
        <w:t xml:space="preserve">The Protocols’ terms will remain in flux: </w:t>
      </w:r>
      <w:r>
        <w:rPr>
          <w:bCs/>
          <w:sz w:val="22"/>
        </w:rPr>
        <w:t xml:space="preserve">The Protocols have not yet been finalized with Public Utility District Texas (“PUCT”) approval, and following the inauguration of the restructured marketplace in January 2002, further regulatory changes are expected to take place, with effects on the parties’ obligations which cannot be anticipated. (2) </w:t>
      </w:r>
      <w:r>
        <w:rPr>
          <w:bCs/>
          <w:i/>
          <w:iCs/>
          <w:sz w:val="22"/>
        </w:rPr>
        <w:t>It is difficutlt to track the operative terms representing binding obligations of the parties.</w:t>
      </w:r>
      <w:r>
        <w:rPr>
          <w:bCs/>
          <w:sz w:val="22"/>
        </w:rPr>
        <w:t xml:space="preserve"> </w:t>
      </w:r>
      <w:r>
        <w:rPr>
          <w:sz w:val="22"/>
        </w:rPr>
        <w:t>The attached Schedule A identifies the provisions of the Protocols currently having reference to QSEs, and the numbered items below treat the most significant terms of the Agreement in combination with the Protocols. (3)</w:t>
      </w:r>
      <w:r>
        <w:rPr>
          <w:i/>
          <w:iCs/>
          <w:sz w:val="22"/>
        </w:rPr>
        <w:t xml:space="preserve"> Risk of material adverse change to binding provisions governing parties</w:t>
      </w:r>
      <w:r>
        <w:rPr>
          <w:sz w:val="22"/>
        </w:rPr>
        <w:t xml:space="preserve">: Beyond the difficulty of tracking contractual obligations dispersed across 400 plus pages of the Protocols, is the risk of change to the Protocols in a manner adverse to EPMI’s interests.  Mitigating this risk is the procedure that the Protocols will not be changes without notice to and input from market participants, and that the Agreement can be terminated on 60 days’ notice. </w:t>
      </w:r>
    </w:p>
    <w:p>
      <w:pPr>
        <w:pStyle w:val="Normal"/>
        <w:numPr>
          <w:ilvl w:val="0"/>
          <w:numId w:val="2"/>
        </w:numPr>
        <w:tabs>
          <w:tab w:val="left" w:pos="0" w:leader="none"/>
          <w:tab w:val="left" w:pos="720" w:leader="none"/>
          <w:tab w:val="left" w:pos="4248" w:leader="none"/>
          <w:tab w:val="left" w:pos="10188" w:leader="none"/>
        </w:tabs>
        <w:ind w:firstLine="360" w:start="0" w:end="-180"/>
        <w:jc w:val="both"/>
        <w:rPr>
          <w:b/>
          <w:bCs/>
          <w:sz w:val="22"/>
        </w:rPr>
      </w:pPr>
      <w:r>
        <w:rPr>
          <w:b/>
          <w:bCs/>
          <w:sz w:val="22"/>
          <w:u w:val="single"/>
        </w:rPr>
        <w:t>EPMI’s Credit Position as Intermediary</w:t>
      </w:r>
      <w:r>
        <w:rPr>
          <w:b/>
          <w:bCs/>
          <w:sz w:val="22"/>
        </w:rPr>
        <w:t>.</w:t>
      </w:r>
      <w:r>
        <w:rPr>
          <w:sz w:val="22"/>
        </w:rPr>
        <w:t xml:space="preserve">  A QSE will act as a pass-through entity in settlement of financial accounts between the ERCOT ISO and the Customer. A QSE’s scheduling of energy for Customers will not itself involve payments obligations; only the settlement of Ancillary Services arranged by the ERCOT ISO involves payments passing between the Customer, EPMI and the ERCOT ISO.   It is intended that Customers will maintain credit support for their obligations to EPMI acting as their QSE. Among the provisions for partially mitigating credit risks are the following. The Agreement’s Article 6 states broad indemnification obligations of the Customer to EPMI. Certain other circumstances potentially affecting the ERCOT ISO’s ability to pay EPMI, including insolvency of other Market Participants, is treated in Section 4.5.  As these are service contracts rather than commodity forward contracts, limitations may exist on the ability pursuant to US Bankruptcy Code Sec. 556 to (i) collect netted termination payments or (ii) terminate the relationship itself on the occurrence of a Event of Default relating to bankruptcy/insolvency of a party.  </w:t>
      </w:r>
    </w:p>
    <w:p>
      <w:pPr>
        <w:pStyle w:val="Normal"/>
        <w:numPr>
          <w:ilvl w:val="0"/>
          <w:numId w:val="2"/>
        </w:numPr>
        <w:tabs>
          <w:tab w:val="left" w:pos="0" w:leader="none"/>
          <w:tab w:val="left" w:pos="720" w:leader="none"/>
          <w:tab w:val="left" w:pos="4248" w:leader="none"/>
          <w:tab w:val="left" w:pos="10188" w:leader="none"/>
        </w:tabs>
        <w:ind w:firstLine="360" w:start="0" w:end="-180"/>
        <w:jc w:val="both"/>
        <w:rPr>
          <w:b/>
          <w:bCs/>
          <w:sz w:val="22"/>
        </w:rPr>
      </w:pPr>
      <w:r>
        <w:rPr>
          <w:b/>
          <w:bCs/>
          <w:sz w:val="22"/>
          <w:u w:val="single"/>
        </w:rPr>
        <w:t>Matching of Upstream and Downstream Contract Obligations</w:t>
      </w:r>
      <w:r>
        <w:rPr>
          <w:b/>
          <w:bCs/>
          <w:sz w:val="22"/>
        </w:rPr>
        <w:t xml:space="preserve">. </w:t>
      </w:r>
      <w:r>
        <w:rPr>
          <w:sz w:val="22"/>
        </w:rPr>
        <w:t>To operate as a QSE in the ERCOT market,</w:t>
      </w:r>
      <w:r>
        <w:rPr>
          <w:b/>
          <w:bCs/>
          <w:sz w:val="22"/>
        </w:rPr>
        <w:t xml:space="preserve"> </w:t>
      </w:r>
      <w:r>
        <w:rPr>
          <w:sz w:val="22"/>
        </w:rPr>
        <w:t xml:space="preserve">EPMI must execute with ERCOT a “Standard Form Qualified Scheduling Entity Agreement” (“QSE Agreement”).  EPMI will the provide QSE services to customers under the Agreement discussed in this memorandum.  The fomat of Agreement has been drafted minimize instances in which EPMI obligations running to ERCOT are not matched to obligations of EPMI and its customers under the Agreement.  </w:t>
      </w:r>
    </w:p>
    <w:p>
      <w:pPr>
        <w:pStyle w:val="Normal"/>
        <w:numPr>
          <w:ilvl w:val="0"/>
          <w:numId w:val="2"/>
        </w:numPr>
        <w:tabs>
          <w:tab w:val="left" w:pos="0" w:leader="none"/>
          <w:tab w:val="left" w:pos="720" w:leader="none"/>
          <w:tab w:val="left" w:pos="4248" w:leader="none"/>
          <w:tab w:val="left" w:pos="10188" w:leader="none"/>
        </w:tabs>
        <w:ind w:firstLine="360" w:start="0" w:end="-180"/>
        <w:jc w:val="both"/>
        <w:rPr>
          <w:sz w:val="22"/>
        </w:rPr>
      </w:pPr>
      <w:r>
        <w:rPr>
          <w:b/>
          <w:bCs/>
          <w:sz w:val="22"/>
          <w:u w:val="single"/>
        </w:rPr>
        <w:t>Confidentiality Obligations.</w:t>
      </w:r>
      <w:r>
        <w:rPr>
          <w:b/>
          <w:bCs/>
          <w:sz w:val="22"/>
        </w:rPr>
        <w:t xml:space="preserve">   </w:t>
      </w:r>
      <w:r>
        <w:rPr>
          <w:sz w:val="22"/>
        </w:rPr>
        <w:t>Activities by EPMI as QSE may make EPMI privy to customers’ proprietary or confidential commercial information from time to time</w:t>
      </w:r>
      <w:r>
        <w:rPr>
          <w:b/>
          <w:bCs/>
          <w:sz w:val="22"/>
        </w:rPr>
        <w:t xml:space="preserve">.  </w:t>
      </w:r>
      <w:r>
        <w:rPr>
          <w:sz w:val="22"/>
        </w:rPr>
        <w:t>“Confidentiality”</w:t>
      </w:r>
      <w:r>
        <w:rPr>
          <w:b/>
          <w:bCs/>
          <w:sz w:val="22"/>
        </w:rPr>
        <w:t xml:space="preserve"> </w:t>
      </w:r>
      <w:r>
        <w:rPr>
          <w:sz w:val="22"/>
        </w:rPr>
        <w:t>Section 7.2</w:t>
      </w:r>
      <w:r>
        <w:rPr>
          <w:b/>
          <w:bCs/>
          <w:sz w:val="22"/>
        </w:rPr>
        <w:t xml:space="preserve"> i</w:t>
      </w:r>
      <w:r>
        <w:rPr>
          <w:sz w:val="22"/>
        </w:rPr>
        <w:t xml:space="preserve">s silent as to EPMI’s obligations to segregate information obtained in performance of QSE duties from the other operations of the wholesale power desk.  </w:t>
      </w:r>
    </w:p>
    <w:p>
      <w:pPr>
        <w:pStyle w:val="Normal"/>
        <w:numPr>
          <w:ilvl w:val="0"/>
          <w:numId w:val="2"/>
        </w:numPr>
        <w:tabs>
          <w:tab w:val="left" w:pos="0" w:leader="none"/>
          <w:tab w:val="left" w:pos="720" w:leader="none"/>
          <w:tab w:val="left" w:pos="4248" w:leader="none"/>
          <w:tab w:val="left" w:pos="10188" w:leader="none"/>
        </w:tabs>
        <w:ind w:firstLine="360" w:start="0" w:end="-180"/>
        <w:jc w:val="both"/>
        <w:rPr>
          <w:b/>
          <w:bCs/>
          <w:sz w:val="22"/>
        </w:rPr>
      </w:pPr>
      <w:r>
        <w:rPr>
          <w:b/>
          <w:bCs/>
          <w:sz w:val="22"/>
          <w:u w:val="single"/>
        </w:rPr>
        <w:t>Fiduciary Duties</w:t>
      </w:r>
      <w:r>
        <w:rPr>
          <w:sz w:val="22"/>
        </w:rPr>
        <w:t>.   Divided loyalties are not clearly inherent in EPMI’s performance of QSE duties; they are more problematic as to the energy marketing services that EPMI will carry out for some of those customers using EPMI as QSE. Section 10.2 disclaims fiduciary duties and states a “commercially reasonable person” standard of care.</w:t>
      </w:r>
    </w:p>
    <w:p>
      <w:pPr>
        <w:pStyle w:val="Normal"/>
        <w:numPr>
          <w:ilvl w:val="0"/>
          <w:numId w:val="2"/>
        </w:numPr>
        <w:tabs>
          <w:tab w:val="left" w:pos="0" w:leader="none"/>
          <w:tab w:val="left" w:pos="720" w:leader="none"/>
          <w:tab w:val="left" w:pos="4248" w:leader="none"/>
          <w:tab w:val="left" w:pos="10188" w:leader="none"/>
        </w:tabs>
        <w:ind w:firstLine="360" w:start="0" w:end="-180"/>
        <w:jc w:val="both"/>
        <w:rPr>
          <w:b/>
          <w:bCs/>
          <w:sz w:val="22"/>
        </w:rPr>
      </w:pPr>
      <w:r>
        <w:rPr>
          <w:b/>
          <w:bCs/>
          <w:sz w:val="22"/>
          <w:u w:val="single"/>
        </w:rPr>
        <w:t>Fee Structure.</w:t>
      </w:r>
      <w:r>
        <w:rPr>
          <w:b/>
          <w:bCs/>
          <w:sz w:val="22"/>
        </w:rPr>
        <w:t xml:space="preserve">  </w:t>
      </w:r>
      <w:r>
        <w:rPr>
          <w:sz w:val="22"/>
        </w:rPr>
        <w:t xml:space="preserve">The Agreements put in place will use a variety of fee structures. Monthly fees already quoted vary form $0 to $50,000. Discounted fees are being offered to obtain particular customers and/or to assure a adequately large group of customers for the establishment of this EPMI business.  Fees must allow EPMI to cover the substantial capital investment (software, etc.) involved in becoming a QSE, but such cost recovery will depend on the Agreements remaining in effect without termination for an adequate period of time. This risk will be reduced whenever possible by early termination fees payable to EPMI. </w:t>
      </w:r>
    </w:p>
    <w:p>
      <w:pPr>
        <w:pStyle w:val="Normal"/>
        <w:numPr>
          <w:ilvl w:val="0"/>
          <w:numId w:val="2"/>
        </w:numPr>
        <w:tabs>
          <w:tab w:val="left" w:pos="0" w:leader="none"/>
          <w:tab w:val="left" w:pos="720" w:leader="none"/>
          <w:tab w:val="left" w:pos="4248" w:leader="none"/>
          <w:tab w:val="left" w:pos="10188" w:leader="none"/>
        </w:tabs>
        <w:ind w:firstLine="360" w:start="0" w:end="-180"/>
        <w:jc w:val="both"/>
        <w:rPr>
          <w:sz w:val="22"/>
        </w:rPr>
      </w:pPr>
      <w:r>
        <w:rPr>
          <w:b/>
          <w:bCs/>
          <w:sz w:val="22"/>
          <w:u w:val="single"/>
        </w:rPr>
        <w:t>Customer’s Temporary Inability to Schedule upon Termination of QSE Contract.</w:t>
      </w:r>
      <w:r>
        <w:rPr>
          <w:sz w:val="22"/>
        </w:rPr>
        <w:t xml:space="preserve">  Under certain circumstances EPMI may become disqualified to act as QSE with the ERCOT ISO, and would immediately seek to terminate its obligations under the Agreements.  While the Protocols specify a mechanism for market participants to move to a “Default QSE”, the details are not yet clearly spelled out in the Protocols.  Due to the substantial requirements for communication links, etc., such transition could take days or weeks.  In mitigation of the risk that Customers may seek damages for inability to schedule their generation or load, (1) the Agreement’s Section 4.4 limits EPMI’s liabilities on termination to the Termination Payment composed of the net of QSE Service Fees and the balance of reimbursed charges, (2) EPMI obligations to third parties are disclaimed (Section 10.6) and subject to indemnity by Customer ( Article 6), and as to the Customer’s own energy which cannot be scheduled, recovery from EPMI on any theory of liability would be limited to actual damages (Section 5.2) up to a cap of the aggregate of fees actually paid to EPMI (Section 5.1).</w:t>
      </w:r>
    </w:p>
    <w:p>
      <w:pPr>
        <w:pStyle w:val="Normal"/>
        <w:numPr>
          <w:ilvl w:val="0"/>
          <w:numId w:val="2"/>
        </w:numPr>
        <w:tabs>
          <w:tab w:val="left" w:pos="0" w:leader="none"/>
          <w:tab w:val="left" w:pos="720" w:leader="none"/>
          <w:tab w:val="left" w:pos="4248" w:leader="none"/>
          <w:tab w:val="left" w:pos="10188" w:leader="none"/>
        </w:tabs>
        <w:ind w:firstLine="360" w:start="0" w:end="-180"/>
        <w:jc w:val="both"/>
        <w:rPr>
          <w:sz w:val="22"/>
        </w:rPr>
      </w:pPr>
      <w:r>
        <w:rPr>
          <w:b/>
          <w:bCs/>
          <w:sz w:val="22"/>
          <w:u w:val="single"/>
        </w:rPr>
        <w:t>Events of Default, Cure Periods and Termination.</w:t>
      </w:r>
      <w:r>
        <w:rPr>
          <w:sz w:val="22"/>
        </w:rPr>
        <w:t xml:space="preserve">  The Agreement tracks the Events of Default specified in the Protocols (non-payment without timely cure, material breach without timely cure, insolvency). Cure periods also largely conform to the periods specified under the ERCOT Standard QSE Agreement (see item 3 above) rather than installing shorter cure periods preferred in some instances by EPMI. Termination settlement is effected by a net Termination Payment allowing EPMI to receive the present value of QSE services fees payable by Customer over the remaining term of the Agreement.  Termination by EPMI is also allowed under Section 4.5 based on the failure or insolvency of ERCOT, or inappropriate efforts by ERCOT to levy on collateral security provided by EPMI, in which instances EPMI could terminate but would not obtain fees payable for the unexpired term. </w:t>
      </w:r>
    </w:p>
    <w:p>
      <w:pPr>
        <w:pStyle w:val="Normal"/>
        <w:numPr>
          <w:ilvl w:val="0"/>
          <w:numId w:val="2"/>
        </w:numPr>
        <w:tabs>
          <w:tab w:val="left" w:pos="0" w:leader="none"/>
          <w:tab w:val="left" w:pos="720" w:leader="none"/>
          <w:tab w:val="left" w:pos="4248" w:leader="none"/>
          <w:tab w:val="left" w:pos="10188" w:leader="none"/>
        </w:tabs>
        <w:ind w:firstLine="360" w:start="0" w:end="-180"/>
        <w:jc w:val="both"/>
        <w:rPr>
          <w:sz w:val="22"/>
        </w:rPr>
      </w:pPr>
      <w:r>
        <w:rPr>
          <w:b/>
          <w:bCs/>
          <w:sz w:val="22"/>
          <w:u w:val="single"/>
        </w:rPr>
        <w:t>ADR.</w:t>
      </w:r>
      <w:r>
        <w:rPr>
          <w:sz w:val="22"/>
        </w:rPr>
        <w:t xml:space="preserve">  The Protocols’ Section 20 ADR procedure is incorporated where mandatory to do so (as to disputes over interpretation of the Protocols), which procedure potentially potentially leads the parties through mediation, then arbitration, then PUCT proceedings and/or the courts. To the maximum extent possible, e.g., in all other instances, the Agreement requires ADR consistent with Enron’s policy preferences, i.e., binding AAA arbitration conducted in Houston.</w:t>
      </w:r>
    </w:p>
    <w:p>
      <w:pPr>
        <w:pStyle w:val="Normal"/>
        <w:numPr>
          <w:ilvl w:val="0"/>
          <w:numId w:val="2"/>
        </w:numPr>
        <w:tabs>
          <w:tab w:val="left" w:pos="0" w:leader="none"/>
          <w:tab w:val="left" w:pos="720" w:leader="none"/>
          <w:tab w:val="left" w:pos="4248" w:leader="none"/>
          <w:tab w:val="left" w:pos="10188" w:leader="none"/>
        </w:tabs>
        <w:ind w:firstLine="360" w:start="0" w:end="-180"/>
        <w:jc w:val="both"/>
        <w:rPr>
          <w:sz w:val="22"/>
        </w:rPr>
      </w:pPr>
      <w:r>
        <w:rPr>
          <w:b/>
          <w:bCs/>
          <w:sz w:val="22"/>
          <w:u w:val="single"/>
        </w:rPr>
        <w:t>Force Majeure Events</w:t>
      </w:r>
      <w:r>
        <w:rPr>
          <w:sz w:val="22"/>
        </w:rPr>
        <w:t xml:space="preserve">.  “Force Majeure Events” are not defined using a strict wholesale trading marketplace standard, but incorporates the definition established in the Protocols for all the ERCOT Standard Agreements.  Risk exists that the definition may support claims for excused performance based on events “capable of being overcome” by the claiming party, or which could have been anticipated.  Notice of as to a Force Majeure Event is due as soon as possible but in any case within 14 days of the event (a long notice period period), or else the claim of Force Majeure is waived. In spite of these defects, in order to avoid conflicting obligations the Agreement adheres to the uniform Uncontrollable Forces definition prevailing among ERCOT Market Participants.  </w:t>
      </w:r>
    </w:p>
    <w:p>
      <w:pPr>
        <w:pStyle w:val="Normal"/>
        <w:tabs>
          <w:tab w:val="clear" w:pos="720"/>
          <w:tab w:val="left" w:pos="1440" w:leader="none"/>
          <w:tab w:val="left" w:pos="4248" w:leader="none"/>
          <w:tab w:val="left" w:pos="10188" w:leader="none"/>
        </w:tabs>
        <w:ind w:start="360" w:end="-180"/>
        <w:jc w:val="both"/>
        <w:rPr>
          <w:sz w:val="22"/>
        </w:rPr>
      </w:pPr>
      <w:r>
        <w:rPr>
          <w:sz w:val="22"/>
        </w:rPr>
      </w:r>
    </w:p>
    <w:p>
      <w:pPr>
        <w:pStyle w:val="Normal"/>
        <w:tabs>
          <w:tab w:val="clear" w:pos="720"/>
          <w:tab w:val="left" w:pos="4248" w:leader="none"/>
          <w:tab w:val="left" w:pos="10188" w:leader="none"/>
        </w:tabs>
        <w:ind w:firstLine="90" w:start="-90" w:end="-180"/>
        <w:jc w:val="both"/>
        <w:rPr>
          <w:sz w:val="22"/>
        </w:rPr>
      </w:pPr>
      <w:r>
        <w:rPr>
          <w:sz w:val="22"/>
        </w:rPr>
      </w:r>
    </w:p>
    <w:p>
      <w:pPr>
        <w:pStyle w:val="Normal"/>
        <w:ind w:end="-180"/>
        <w:jc w:val="both"/>
        <w:rPr>
          <w:sz w:val="22"/>
        </w:rPr>
      </w:pPr>
      <w:r>
        <w:rPr>
          <w:sz w:val="22"/>
        </w:rPr>
        <w:t>cc:</w:t>
        <w:tab/>
        <w:t>John Lavorado</w:t>
        <w:tab/>
        <w:tab/>
        <w:tab/>
        <w:tab/>
      </w:r>
    </w:p>
    <w:p>
      <w:pPr>
        <w:pStyle w:val="Normal"/>
        <w:ind w:firstLine="720" w:end="-180"/>
        <w:jc w:val="both"/>
        <w:rPr>
          <w:sz w:val="22"/>
        </w:rPr>
      </w:pPr>
      <w:r>
        <w:rPr>
          <w:sz w:val="22"/>
        </w:rPr>
        <w:t>Kevin Presto</w:t>
      </w:r>
    </w:p>
    <w:p>
      <w:pPr>
        <w:pStyle w:val="Normal"/>
        <w:ind w:firstLine="720" w:end="-180"/>
        <w:jc w:val="both"/>
        <w:rPr>
          <w:sz w:val="22"/>
        </w:rPr>
      </w:pPr>
      <w:r>
        <w:rPr>
          <w:sz w:val="22"/>
        </w:rPr>
        <w:t>Bruce Sukalay</w:t>
        <w:tab/>
        <w:tab/>
        <w:tab/>
      </w:r>
    </w:p>
    <w:p>
      <w:pPr>
        <w:pStyle w:val="Normal"/>
        <w:ind w:firstLine="540" w:start="180" w:end="-180"/>
        <w:jc w:val="both"/>
        <w:rPr>
          <w:sz w:val="22"/>
        </w:rPr>
      </w:pPr>
      <w:r>
        <w:rPr>
          <w:sz w:val="22"/>
        </w:rPr>
        <w:t>Doug Gilbert-Smith</w:t>
      </w:r>
    </w:p>
    <w:p>
      <w:pPr>
        <w:pStyle w:val="Normal"/>
        <w:ind w:firstLine="720" w:end="-180"/>
        <w:jc w:val="both"/>
        <w:rPr>
          <w:sz w:val="22"/>
        </w:rPr>
      </w:pPr>
      <w:r>
        <w:rPr>
          <w:sz w:val="22"/>
        </w:rPr>
        <w:t>Elizabeth Sager</w:t>
      </w:r>
    </w:p>
    <w:p>
      <w:pPr>
        <w:pStyle w:val="Normal"/>
        <w:ind w:firstLine="540" w:start="180" w:end="-180"/>
        <w:jc w:val="both"/>
        <w:rPr>
          <w:sz w:val="22"/>
        </w:rPr>
      </w:pPr>
      <w:r>
        <w:rPr>
          <w:sz w:val="22"/>
        </w:rPr>
        <w:tab/>
        <w:tab/>
        <w:tab/>
        <w:tab/>
      </w:r>
    </w:p>
    <w:sectPr>
      <w:footerReference w:type="default" r:id="rId2"/>
      <w:footerReference w:type="first" r:id="rId3"/>
      <w:type w:val="nextPage"/>
      <w:pgSz w:w="12240" w:h="15840"/>
      <w:pgMar w:left="1440" w:right="1440" w:gutter="0" w:header="0" w:top="720" w:footer="83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/mnt/main-storage/datasets/enron-docs/doc/QSE_3rd_party_AGR_RiskMemo_draft.doc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b/>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b/>
      <w:sz w:val="32"/>
    </w:rPr>
  </w:style>
  <w:style w:type="paragraph" w:styleId="Heading3">
    <w:name w:val="heading 3"/>
    <w:basedOn w:val="Normal"/>
    <w:next w:val="Normal"/>
    <w:qFormat/>
    <w:pPr>
      <w:keepNext w:val="true"/>
      <w:numPr>
        <w:ilvl w:val="2"/>
        <w:numId w:val="1"/>
      </w:numPr>
      <w:ind w:hanging="0" w:start="0" w:end="-180"/>
      <w:outlineLvl w:val="2"/>
    </w:pPr>
    <w:rPr>
      <w:b/>
      <w:bCs/>
      <w:sz w:val="22"/>
    </w:rPr>
  </w:style>
  <w:style w:type="paragraph" w:styleId="Heading4">
    <w:name w:val="heading 4"/>
    <w:basedOn w:val="Normal"/>
    <w:next w:val="Normal"/>
    <w:qFormat/>
    <w:pPr>
      <w:keepNext w:val="true"/>
      <w:numPr>
        <w:ilvl w:val="3"/>
        <w:numId w:val="1"/>
      </w:numPr>
      <w:tabs>
        <w:tab w:val="clear" w:pos="720"/>
        <w:tab w:val="left" w:pos="1440" w:leader="none"/>
        <w:tab w:val="left" w:pos="4248" w:leader="none"/>
        <w:tab w:val="left" w:pos="10188" w:leader="none"/>
      </w:tabs>
      <w:ind w:hanging="0" w:start="360" w:end="-180"/>
      <w:jc w:val="both"/>
      <w:outlineLvl w:val="3"/>
    </w:pPr>
    <w:rPr>
      <w:bCs/>
      <w:sz w:val="22"/>
    </w:rPr>
  </w:style>
  <w:style w:type="character" w:styleId="WW8Num1z0">
    <w:name w:val="WW8Num1z0"/>
    <w:qFormat/>
    <w:rPr>
      <w:u w:val="single"/>
    </w:rPr>
  </w:style>
  <w:style w:type="character" w:styleId="WW8Num2z0">
    <w:name w:val="WW8Num2z0"/>
    <w:qFormat/>
    <w:rPr>
      <w:b/>
    </w:rPr>
  </w:style>
  <w:style w:type="character" w:styleId="WW8Num3z0">
    <w:name w:val="WW8Num3z0"/>
    <w:qFormat/>
    <w:rPr>
      <w:b/>
    </w:rPr>
  </w:style>
  <w:style w:type="character" w:styleId="WW8Num4z0">
    <w:name w:val="WW8Num4z0"/>
    <w:qFormat/>
    <w:rPr>
      <w:b/>
      <w:u w:val="singl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b/>
    </w:rPr>
  </w:style>
  <w:style w:type="character" w:styleId="WW8Num10z0">
    <w:name w:val="WW8Num10z0"/>
    <w:qFormat/>
    <w:rPr>
      <w:b/>
      <w:color w:val="000080"/>
      <w:sz w:val="22"/>
    </w:rPr>
  </w:style>
  <w:style w:type="character" w:styleId="WW8Num11z0">
    <w:name w:val="WW8Num11z0"/>
    <w:qFormat/>
    <w:rPr>
      <w:b/>
      <w:color w:val="000080"/>
      <w:sz w:val="22"/>
      <w:u w:val="single"/>
    </w:rPr>
  </w:style>
  <w:style w:type="character" w:styleId="WW8Num12z0">
    <w:name w:val="WW8Num12z0"/>
    <w:qFormat/>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2160" w:start="2160" w:end="-180"/>
    </w:pPr>
    <w:rPr>
      <w:b/>
      <w:bC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2001-02-16T20:53:00Z</dcterms:created>
  <dc:creator>dportz</dc:creator>
  <dc:description/>
  <dc:language>en-CA</dc:language>
  <cp:lastModifiedBy>dportz</cp:lastModifiedBy>
  <cp:lastPrinted>2001-03-07T10:50:00Z</cp:lastPrinted>
  <dcterms:modified xsi:type="dcterms:W3CDTF">2001-03-22T15:26:00Z</dcterms:modified>
  <cp:revision>54</cp:revision>
  <dc:subject/>
  <dc:title>Privileged and Confidential;</dc:title>
</cp:coreProperties>
</file>