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Title"/>
        <w:rPr>
          <w:b w:val="false"/>
        </w:rPr>
      </w:pPr>
      <w:r>
        <w:rPr>
          <w:b w:val="false"/>
        </w:rPr>
        <w:t>TRANSACTION CONFIRMATION</w:t>
      </w:r>
    </w:p>
    <w:p>
      <w:pPr>
        <w:pStyle w:val="Normal"/>
        <w:jc w:val="center"/>
        <w:rPr>
          <w:rFonts w:ascii="Arial" w:hAnsi="Arial" w:cs="Arial"/>
          <w:sz w:val="21"/>
        </w:rPr>
      </w:pPr>
      <w:r>
        <w:rPr>
          <w:rFonts w:cs="Arial" w:ascii="Arial" w:hAnsi="Arial"/>
          <w:sz w:val="21"/>
        </w:rPr>
        <w:t>PURSUANT TO MASTER NATURAL GAS CONTRACT BY AND BETWEEN</w:t>
      </w:r>
    </w:p>
    <w:p>
      <w:pPr>
        <w:pStyle w:val="Normal"/>
        <w:jc w:val="center"/>
        <w:rPr>
          <w:rFonts w:ascii="Arial" w:hAnsi="Arial" w:cs="Arial"/>
          <w:sz w:val="21"/>
        </w:rPr>
      </w:pPr>
      <w:r>
        <w:rPr>
          <w:rFonts w:cs="Arial" w:ascii="Arial" w:hAnsi="Arial"/>
          <w:sz w:val="21"/>
        </w:rPr>
        <w:t>THE PEOPLES GAS LIGHT AND COKE COMPANY</w:t>
      </w:r>
    </w:p>
    <w:p>
      <w:pPr>
        <w:pStyle w:val="Normal"/>
        <w:jc w:val="center"/>
        <w:rPr>
          <w:rFonts w:ascii="Arial" w:hAnsi="Arial" w:cs="Arial"/>
          <w:sz w:val="21"/>
        </w:rPr>
      </w:pPr>
      <w:r>
        <w:rPr>
          <w:rFonts w:cs="Arial" w:ascii="Arial" w:hAnsi="Arial"/>
          <w:sz w:val="21"/>
        </w:rPr>
        <w:t>AND</w:t>
      </w:r>
    </w:p>
    <w:p>
      <w:pPr>
        <w:pStyle w:val="Normal"/>
        <w:jc w:val="center"/>
        <w:rPr>
          <w:rFonts w:ascii="Arial Narrow" w:hAnsi="Arial Narrow" w:cs="Arial Narrow"/>
          <w:sz w:val="21"/>
        </w:rPr>
      </w:pPr>
      <w:r>
        <w:rPr>
          <w:rFonts w:cs="Arial" w:ascii="Arial" w:hAnsi="Arial"/>
          <w:sz w:val="21"/>
        </w:rPr>
        <w:t>ENRON MW L.L.C.</w:t>
      </w:r>
    </w:p>
    <w:p>
      <w:pPr>
        <w:pStyle w:val="Normal"/>
        <w:jc w:val="center"/>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1"/>
        </w:rPr>
        <w:t>This Transaction Confirmation shall form and effectuate the current proposal between The Peoples Gas Light and Coke Company ("</w:t>
      </w:r>
      <w:r>
        <w:rPr>
          <w:rFonts w:cs="Arial Narrow" w:ascii="Arial Narrow" w:hAnsi="Arial Narrow"/>
          <w:sz w:val="21"/>
          <w:u w:val="single"/>
        </w:rPr>
        <w:t>Customer</w:t>
      </w:r>
      <w:r>
        <w:rPr>
          <w:rFonts w:cs="Arial Narrow" w:ascii="Arial Narrow" w:hAnsi="Arial Narrow"/>
          <w:sz w:val="21"/>
        </w:rPr>
        <w:t>") and Enron MW L.L.C. ("</w:t>
      </w:r>
      <w:r>
        <w:rPr>
          <w:rFonts w:cs="Arial Narrow" w:ascii="Arial Narrow" w:hAnsi="Arial Narrow"/>
          <w:sz w:val="21"/>
          <w:u w:val="single"/>
        </w:rPr>
        <w:t>Company</w:t>
      </w:r>
      <w:r>
        <w:rPr>
          <w:rFonts w:cs="Arial Narrow" w:ascii="Arial Narrow" w:hAnsi="Arial Narrow"/>
          <w:sz w:val="21"/>
        </w:rPr>
        <w:t>") regarding the firm purchase and sale of Gas under the following terms and conditions.  Customer to purchase and receive (Buyer) and Company to sell and deliver (Seller).  Transaction number 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u w:val="single"/>
        </w:rPr>
        <w:t>DEFINED TERMS: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TERM:</w:t>
        <w:tab/>
        <w:t>November 1, 2000, through March 31, 2001.</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rPr>
        <w:t>MAXIMUM DAILY PURCHASE QUANTITY:</w:t>
        <w:tab/>
        <w:t>57,377 MMBtu.</w:t>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NOMINATED PURCHASE QUANTITY:</w:t>
        <w:tab/>
        <w:t>A quantity from 0 to 57,377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LATE PURCHASE QUANTITY:</w:t>
        <w:tab/>
        <w:t>A quantity from 0 to 20,000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PURCHASE QUANTITY:</w:t>
        <w:tab/>
        <w:t>A quantity from 0 to 30,000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NOMINATED PURCHASE QUANTITY NOTIFICATION:</w:t>
        <w:tab/>
        <w:t>Prior to 8:45 am (CST) on the day prior to the day which gas will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LATE PURCHASE QUANTITY NOTIFICATION:</w:t>
        <w:tab/>
        <w:t>After 8:45 am (CST) and prior to 11:30 am (CST) on the day prior to the day which gas will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PURCHASE QUANTITY NOTIFICATION:</w:t>
        <w:tab/>
        <w:t>After 11:30 a.m. (CST) on the day prior to the day which gas will flow until 4:00 p.m. (CST) on the day which gas will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REQUIREMENT:</w:t>
        <w:tab/>
        <w:t>Confirmation by Trunkline Gas Company.</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BodyTextIndent"/>
        <w:rPr>
          <w:sz w:val="21"/>
          <w:u w:val="single"/>
        </w:rPr>
      </w:pPr>
      <w:r>
        <w:rPr>
          <w:sz w:val="21"/>
        </w:rPr>
        <w:t>DELIVERY POINT:</w:t>
        <w:tab/>
        <w:t>The interconnect between Trunkline and Buyer’s facilities, or any other point into Buyer’s facilities, as Parties may agree from time to time.</w:t>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rPr>
        <w:t>GAS DAILY:</w:t>
        <w:tab/>
        <w:t>The publication “Gas Daily”, published by Financial Times Energy, or any successor publication thereto.</w:t>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GAS DAILY EAST LOUISIANA PRICE:</w:t>
        <w:tab/>
        <w:t>For each Day, the Daily Midpoint Price per MMBtu as published in “Gas Daily” for such Day under the heading “Daily Price Survey” under the subtitle “Louisiana-Onshore South” for deliveries to Trunkline ELA for the applicable “Flow Date,” or if such index is not published on such Day, such Daily Midpoint Price for the next Day such index is published following such Day.</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GAS DAILY EAST LOUISIANA COMMON HIGH PRICE:</w:t>
        <w:tab/>
        <w:t>For each Day, the Daily High Price per MMBtu for the Common range as published in “Gas Daily” for such Day under the heading “Daily Price Survey” under the subtitle “Louisiana-Onshore South” for deliveries to Trunkline ELA for the applicable “Flow Date,” or if such index is not published on such Day, such Daily High Price for the next Day such index is published following such Day.</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GAS DAILY CHICAGO PRICE:</w:t>
        <w:tab/>
        <w:t>For each Day, the Daily Midpoint Price per MMBtu as published in “Gas Daily” for such Day under the heading “Daily Price Survey” under the subtitle “Citygates” for deliveries to Chicago-LDC’s, large e-us for the applicable “Flow Date,” or if such index is not published on such Day, such Daily Midpoint Price for the next Day such index is published following such Day.</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NOMINATED PURCHASE PRICE:</w:t>
        <w:tab/>
        <w:t>The Gas Daily East Louisiana Price for the day of gas.</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LATE PURCHASE PRICE:</w:t>
        <w:tab/>
        <w:t>The Gas Daily East Louisiana Common High Price for the day of gas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PURCHASE PRICE:</w:t>
        <w:tab/>
        <w:t>The higher of (1) the Gas Daily East Louisiana Price for the day of gas flow or (2) the Gas Daily East Louisiana Price for the day following the day of gas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BodyTextIndent"/>
        <w:rPr>
          <w:sz w:val="21"/>
        </w:rPr>
      </w:pPr>
      <w:r>
        <w:rPr>
          <w:sz w:val="21"/>
        </w:rPr>
        <w:t>TRANSPORTATION CHARGE:</w:t>
        <w:tab/>
        <w:t>The product of following formula: (Nominated/Late/Intra-day Purchase Price/(1-Fuel)- Nominated/Late/Intra-day Purchase Price) + Variable Charges.</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FUEL:</w:t>
        <w:tab/>
        <w:t>The applicable fuel percentage pursuant to Trunkline’s then current QNT tariff.</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VARIABLE CHARGES:</w:t>
        <w:tab/>
        <w:t>All applicable maximum transportation commodity charges pursuant to Trunkline’s then current QNT tariff from the Field Zone to Zone 2.</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ab/>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2"/>
        </w:rPr>
      </w:pPr>
      <w:r>
        <w:rPr>
          <w:rFonts w:cs="Arial Narrow" w:ascii="Arial Narrow" w:hAnsi="Arial Narrow"/>
          <w:sz w:val="22"/>
        </w:rPr>
        <w:t>Additional Terms &amp; Conditions</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Contract Purchase Quantity</w:t>
      </w:r>
      <w:r>
        <w:rPr>
          <w:rFonts w:cs="Arial Narrow" w:ascii="Arial Narrow" w:hAnsi="Arial Narrow"/>
          <w:sz w:val="21"/>
        </w:rPr>
        <w:t>.  Seller agrees to deliver to Buyer and Buyer agrees to receive from Seller, each Day during the Term of this Transaction Agreement, the sum of the following:</w:t>
      </w:r>
    </w:p>
    <w:p>
      <w:pPr>
        <w:pStyle w:val="Normal"/>
        <w:numPr>
          <w:ilvl w:val="0"/>
          <w:numId w:val="4"/>
        </w:numPr>
        <w:jc w:val="both"/>
        <w:rPr>
          <w:rFonts w:ascii="Arial Narrow" w:hAnsi="Arial Narrow" w:cs="Arial Narrow"/>
          <w:sz w:val="21"/>
        </w:rPr>
      </w:pPr>
      <w:r>
        <w:rPr>
          <w:rFonts w:cs="Arial Narrow" w:ascii="Arial Narrow" w:hAnsi="Arial Narrow"/>
          <w:sz w:val="21"/>
        </w:rPr>
        <w:t xml:space="preserve">the Nominated Purchase Quantity; </w:t>
      </w:r>
    </w:p>
    <w:p>
      <w:pPr>
        <w:pStyle w:val="Normal"/>
        <w:numPr>
          <w:ilvl w:val="0"/>
          <w:numId w:val="4"/>
        </w:numPr>
        <w:jc w:val="both"/>
        <w:rPr>
          <w:rFonts w:ascii="Arial Narrow" w:hAnsi="Arial Narrow" w:cs="Arial Narrow"/>
          <w:sz w:val="21"/>
        </w:rPr>
      </w:pPr>
      <w:r>
        <w:rPr>
          <w:rFonts w:cs="Arial Narrow" w:ascii="Arial Narrow" w:hAnsi="Arial Narrow"/>
          <w:sz w:val="21"/>
        </w:rPr>
        <w:t>the Late Purchase Quantity; and</w:t>
      </w:r>
    </w:p>
    <w:p>
      <w:pPr>
        <w:pStyle w:val="Normal"/>
        <w:numPr>
          <w:ilvl w:val="0"/>
          <w:numId w:val="4"/>
        </w:numPr>
        <w:jc w:val="both"/>
        <w:rPr>
          <w:rFonts w:ascii="Arial Narrow" w:hAnsi="Arial Narrow" w:cs="Arial Narrow"/>
          <w:sz w:val="21"/>
        </w:rPr>
      </w:pPr>
      <w:r>
        <w:rPr>
          <w:rFonts w:cs="Arial Narrow" w:ascii="Arial Narrow" w:hAnsi="Arial Narrow"/>
          <w:sz w:val="21"/>
        </w:rPr>
        <w:t>the Intra-day Purchase Quantity.</w:t>
      </w:r>
    </w:p>
    <w:p>
      <w:pPr>
        <w:pStyle w:val="BodyTextIndent2"/>
        <w:numPr>
          <w:ilvl w:val="0"/>
          <w:numId w:val="0"/>
        </w:numPr>
        <w:ind w:hanging="0" w:start="360" w:end="0"/>
        <w:jc w:val="both"/>
        <w:rPr>
          <w:rFonts w:ascii="Arial Narrow" w:hAnsi="Arial Narrow" w:cs="Arial Narrow"/>
          <w:sz w:val="21"/>
        </w:rPr>
      </w:pPr>
      <w:r>
        <w:rPr>
          <w:rFonts w:cs="Arial Narrow" w:ascii="Arial Narrow" w:hAnsi="Arial Narrow"/>
          <w:sz w:val="21"/>
        </w:rPr>
        <w:t>For any Day, the sum of (1) the Nominated Purchase Quantity, (2) the Late Purchase Quantity, and (3) the Intra-day Purchase Quantity shall not exceed the Maximum Daily Purchase Quantity.  For any Day, the sum of (1) the Late Purchase Quantity and (2) the Intra-day Purchase Quantity shall not exceed 30,000 MMBtu/d.</w:t>
      </w:r>
    </w:p>
    <w:p>
      <w:pPr>
        <w:pStyle w:val="Normal"/>
        <w:numPr>
          <w:ilvl w:val="0"/>
          <w:numId w:val="0"/>
        </w:numPr>
        <w:ind w:hanging="0" w:start="0"/>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Daily Communications</w:t>
      </w:r>
      <w:r>
        <w:rPr>
          <w:rFonts w:cs="Arial Narrow" w:ascii="Arial Narrow" w:hAnsi="Arial Narrow"/>
          <w:sz w:val="21"/>
        </w:rPr>
        <w:t>.  Each Day, Buyer shall provide the Nominated Purchase Notification to Seller.  Buyer shall then have the right to make Late and Intra-day Purchase Notifications for purchase quantities above the then effective Nominated Purchase Quantity provided that the combined quantity does not exceed the Maximum Daily Purchase Quantity.</w:t>
      </w:r>
    </w:p>
    <w:p>
      <w:pPr>
        <w:pStyle w:val="BodyText2"/>
        <w:tabs>
          <w:tab w:val="clear" w:pos="720"/>
          <w:tab w:val="left" w:pos="1080" w:leader="none"/>
        </w:tabs>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Demand Fee</w:t>
      </w:r>
      <w:r>
        <w:rPr>
          <w:rFonts w:cs="Arial Narrow" w:ascii="Arial Narrow" w:hAnsi="Arial Narrow"/>
          <w:sz w:val="21"/>
        </w:rPr>
        <w:t>.  Buyer shall pay to Seller each Day during the Term, a fee equal to $0.41 multiplied by the Maximum Daily Purchase Quantity</w:t>
      </w:r>
    </w:p>
    <w:p>
      <w:pPr>
        <w:pStyle w:val="Normal"/>
        <w:tabs>
          <w:tab w:val="clear" w:pos="720"/>
          <w:tab w:val="left" w:pos="360" w:leader="none"/>
        </w:tabs>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Transportation Capacity Credit</w:t>
      </w:r>
      <w:r>
        <w:rPr>
          <w:rFonts w:cs="Arial Narrow" w:ascii="Arial Narrow" w:hAnsi="Arial Narrow"/>
          <w:sz w:val="21"/>
        </w:rPr>
        <w:t>.  For each day Buyer elects not to purchase any quantities above, with notification of such election by 8:45 am (CST) on the day prior to the day which gas will flow, Buyer shall be reimbursed an amount equal to the sum of the Gas Daily Chicago Price minus the Gas Daily East Louisiana Price minus the Transportation Charge, multiplied by 75 percent, provided such amount is a positive number.</w:t>
      </w:r>
    </w:p>
    <w:p>
      <w:pPr>
        <w:pStyle w:val="CommentText"/>
        <w:numPr>
          <w:ilvl w:val="0"/>
          <w:numId w:val="0"/>
        </w:numPr>
        <w:ind w:hanging="0" w:start="0"/>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Gas Price</w:t>
      </w:r>
      <w:r>
        <w:rPr>
          <w:rFonts w:cs="Arial Narrow" w:ascii="Arial Narrow" w:hAnsi="Arial Narrow"/>
          <w:sz w:val="21"/>
        </w:rPr>
        <w:t>.  The quantities of Gas to be purchased by Buyer pursuant to Section 1.1 for each Day shall be priced as follows:</w:t>
      </w:r>
    </w:p>
    <w:p>
      <w:pPr>
        <w:pStyle w:val="Normal"/>
        <w:numPr>
          <w:ilvl w:val="0"/>
          <w:numId w:val="3"/>
        </w:numPr>
        <w:tabs>
          <w:tab w:val="clear" w:pos="720"/>
          <w:tab w:val="left" w:pos="1080" w:leader="none"/>
        </w:tabs>
        <w:jc w:val="both"/>
        <w:rPr>
          <w:rFonts w:ascii="Arial Narrow" w:hAnsi="Arial Narrow" w:cs="Arial Narrow"/>
          <w:sz w:val="21"/>
        </w:rPr>
      </w:pPr>
      <w:r>
        <w:rPr>
          <w:rFonts w:cs="Arial Narrow" w:ascii="Arial Narrow" w:hAnsi="Arial Narrow"/>
          <w:sz w:val="21"/>
          <w:u w:val="single"/>
        </w:rPr>
        <w:t>Nominated Purchase Quantity</w:t>
      </w:r>
      <w:r>
        <w:rPr>
          <w:rFonts w:cs="Arial Narrow" w:ascii="Arial Narrow" w:hAnsi="Arial Narrow"/>
          <w:sz w:val="21"/>
        </w:rPr>
        <w:t>. The price per MMBtu for the Nominated Purchase Quantity shall be the Nominated Purchase Price plus the Transportation Charge.</w:t>
      </w:r>
    </w:p>
    <w:p>
      <w:pPr>
        <w:pStyle w:val="Normal"/>
        <w:tabs>
          <w:tab w:val="clear" w:pos="720"/>
          <w:tab w:val="left" w:pos="1080" w:leader="none"/>
        </w:tabs>
        <w:ind w:hanging="360" w:start="1080" w:end="0"/>
        <w:jc w:val="both"/>
        <w:rPr>
          <w:rFonts w:ascii="Arial Narrow" w:hAnsi="Arial Narrow" w:cs="Arial Narrow"/>
          <w:sz w:val="21"/>
        </w:rPr>
      </w:pPr>
      <w:r>
        <w:rPr>
          <w:rFonts w:cs="Arial Narrow" w:ascii="Arial Narrow" w:hAnsi="Arial Narrow"/>
          <w:sz w:val="21"/>
        </w:rPr>
      </w:r>
    </w:p>
    <w:p>
      <w:pPr>
        <w:pStyle w:val="Normal"/>
        <w:tabs>
          <w:tab w:val="clear" w:pos="720"/>
          <w:tab w:val="left" w:pos="1080" w:leader="none"/>
        </w:tabs>
        <w:ind w:hanging="360" w:start="1080" w:end="0"/>
        <w:jc w:val="both"/>
        <w:rPr/>
      </w:pPr>
      <w:r>
        <w:rPr>
          <w:rFonts w:cs="Arial Narrow" w:ascii="Arial Narrow" w:hAnsi="Arial Narrow"/>
          <w:sz w:val="21"/>
        </w:rPr>
        <w:t>(b)</w:t>
        <w:tab/>
      </w:r>
      <w:r>
        <w:rPr>
          <w:rFonts w:cs="Arial Narrow" w:ascii="Arial Narrow" w:hAnsi="Arial Narrow"/>
          <w:sz w:val="21"/>
          <w:u w:val="single"/>
        </w:rPr>
        <w:t>Late Purchase Quantity</w:t>
      </w:r>
      <w:r>
        <w:rPr>
          <w:rFonts w:cs="Arial Narrow" w:ascii="Arial Narrow" w:hAnsi="Arial Narrow"/>
          <w:sz w:val="21"/>
        </w:rPr>
        <w:t>. The price per MMBtu for the Late Purchase Quantity shall be the Late Purchase Price plus the Transportation Charge.</w:t>
      </w:r>
    </w:p>
    <w:p>
      <w:pPr>
        <w:pStyle w:val="Normal"/>
        <w:numPr>
          <w:ilvl w:val="0"/>
          <w:numId w:val="3"/>
        </w:numPr>
        <w:tabs>
          <w:tab w:val="clear" w:pos="720"/>
          <w:tab w:val="left" w:pos="1080" w:leader="none"/>
        </w:tabs>
        <w:jc w:val="both"/>
        <w:rPr>
          <w:rFonts w:ascii="Arial Narrow" w:hAnsi="Arial Narrow" w:cs="Arial Narrow"/>
          <w:sz w:val="21"/>
        </w:rPr>
      </w:pPr>
      <w:r>
        <w:rPr>
          <w:rFonts w:cs="Arial Narrow" w:ascii="Arial Narrow" w:hAnsi="Arial Narrow"/>
          <w:sz w:val="21"/>
          <w:u w:val="single"/>
        </w:rPr>
        <w:t>Intra-day Purchase Quantity</w:t>
      </w:r>
      <w:r>
        <w:rPr>
          <w:rFonts w:cs="Arial Narrow" w:ascii="Arial Narrow" w:hAnsi="Arial Narrow"/>
          <w:sz w:val="21"/>
        </w:rPr>
        <w:t>. The price per MMBtu for the Intra-day Purchase Quantity shall be the Intra-day Purchase Price plus the Transportation Charge.</w:t>
      </w:r>
    </w:p>
    <w:p>
      <w:pPr>
        <w:pStyle w:val="Normal"/>
        <w:tabs>
          <w:tab w:val="clear" w:pos="720"/>
          <w:tab w:val="left" w:pos="1080" w:leader="none"/>
        </w:tabs>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Transportation Capacity Release</w:t>
      </w:r>
      <w:r>
        <w:rPr>
          <w:rFonts w:cs="Arial Narrow" w:ascii="Arial Narrow" w:hAnsi="Arial Narrow"/>
          <w:sz w:val="21"/>
        </w:rPr>
        <w:t>.  The above transaction is contingent upon Customer releasing their Trunkline QNT Transportation Capacity, at the rate paid by Buyer, to Seller for the term of this transaction.</w:t>
      </w:r>
    </w:p>
    <w:p>
      <w:pPr>
        <w:pStyle w:val="CommentText"/>
        <w:numPr>
          <w:ilvl w:val="0"/>
          <w:numId w:val="0"/>
        </w:numPr>
        <w:ind w:hanging="0" w:start="0"/>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BodyText3"/>
        <w:rPr/>
      </w:pPr>
      <w:r>
        <w:rPr/>
        <w:t>This Transaction Confirmation is being provided pursuant to and in accordance with the Master Contract in effect between Customer and Company and constitutes part of and is subject to all of the terms and provisions of such Agreement.  In the event of any conflict between this Transaction Confirmation and the Master Contract, this Transaction Confirmation shall govern.  The parties have each caused a duly authorized representative to execute this Transaction Confirmation in duplicate.</w:t>
      </w:r>
    </w:p>
    <w:p>
      <w:pPr>
        <w:pStyle w:val="Normal"/>
        <w:tabs>
          <w:tab w:val="clear" w:pos="720"/>
          <w:tab w:val="left" w:pos="3960" w:leader="none"/>
          <w:tab w:val="left" w:pos="5280" w:leader="none"/>
          <w:tab w:val="left" w:pos="9180" w:leader="none"/>
        </w:tabs>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jc w:val="both"/>
        <w:rPr>
          <w:rFonts w:ascii="Arial Narrow" w:hAnsi="Arial Narrow" w:cs="Arial Narrow"/>
          <w:b/>
          <w:sz w:val="18"/>
        </w:rPr>
      </w:pPr>
      <w:r>
        <w:rPr>
          <w:rFonts w:cs="Arial Narrow" w:ascii="Arial Narrow" w:hAnsi="Arial Narrow"/>
          <w:b/>
          <w:sz w:val="18"/>
        </w:rPr>
        <w:t>ENRON MW L.L.C.</w:t>
        <w:tab/>
        <w:tab/>
        <w:tab/>
        <w:tab/>
        <w:tab/>
        <w:tab/>
        <w:tab/>
        <w:t>THE PEOPLES GAS LIGHT AND COKE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BY:________________________________________</w:t>
        <w:tab/>
        <w:tab/>
        <w:tab/>
        <w:tab/>
        <w:t>BY:_________________________________________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NAME:_____________________________________</w:t>
        <w:tab/>
        <w:tab/>
        <w:tab/>
        <w:tab/>
        <w:t>NAME:______________________________________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sectPr>
          <w:footerReference w:type="default" r:id="rId2"/>
          <w:type w:val="nextPage"/>
          <w:pgSz w:w="12240" w:h="15840"/>
          <w:pgMar w:left="720" w:right="720" w:gutter="0" w:header="0" w:top="900" w:footer="720" w:bottom="1350"/>
          <w:pgNumType w:start="1" w:fmt="decimal"/>
          <w:formProt w:val="false"/>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t>TITLE:_____________________________________</w:t>
        <w:tab/>
        <w:tab/>
        <w:tab/>
        <w:tab/>
        <w:t>TITLE:_______________________________________</w:t>
      </w:r>
    </w:p>
    <w:p>
      <w:pPr>
        <w:pStyle w:val="Normal"/>
        <w:rPr>
          <w:rFonts w:ascii="Arial Narrow" w:hAnsi="Arial Narrow" w:cs="Arial Narrow"/>
          <w:b/>
          <w:sz w:val="18"/>
        </w:rPr>
      </w:pPr>
      <w:r>
        <w:rPr>
          <w:rFonts w:cs="Arial Narrow" w:ascii="Arial Narrow" w:hAnsi="Arial Narrow"/>
          <w:b/>
          <w:sz w:val="18"/>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1440"/>
        </w:tabs>
        <w:ind w:start="1440" w:hanging="1440"/>
      </w:pPr>
    </w:lvl>
  </w:abstractNum>
  <w:abstractNum w:abstractNumId="3">
    <w:lvl w:ilvl="0">
      <w:start w:val="1"/>
      <w:numFmt w:val="lowerLetter"/>
      <w:lvlText w:val="(%1)"/>
      <w:lvlJc w:val="start"/>
      <w:pPr>
        <w:tabs>
          <w:tab w:val="num" w:pos="360"/>
        </w:tabs>
        <w:ind w:start="1080" w:hanging="360"/>
      </w:pPr>
    </w:lvl>
  </w:abstractNum>
  <w:abstractNum w:abstractNumId="4">
    <w:lvl w:ilvl="0">
      <w:start w:val="1"/>
      <w:numFmt w:val="lowerLetter"/>
      <w:lvlText w:val="(%1)"/>
      <w:lvlJc w:val="start"/>
      <w:pPr>
        <w:tabs>
          <w:tab w:val="num" w:pos="1080"/>
        </w:tabs>
        <w:ind w:start="1080" w:hanging="360"/>
      </w:pPr>
      <w:rPr/>
    </w:lvl>
    <w:lvl w:ilvl="1">
      <w:start w:val="1"/>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1440"/>
        </w:tabs>
        <w:ind w:start="144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IMES" w:hAnsi="TIMES" w:cs="TIMES"/>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w:hAnsi="TIMES" w:cs="TIMES"/>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IMES" w:hAnsi="TIMES" w:cs="TIMES"/>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IMES" w:hAnsi="TIMES" w:cs="TIMES"/>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IMES" w:hAnsi="TIMES" w:cs="TIMES"/>
      <w:sz w:val="26"/>
    </w:rPr>
  </w:style>
  <w:style w:type="paragraph" w:styleId="Heading8">
    <w:name w:val="heading 8"/>
    <w:basedOn w:val="Normal"/>
    <w:next w:val="NormalIndent"/>
    <w:qFormat/>
    <w:pPr>
      <w:numPr>
        <w:ilvl w:val="7"/>
        <w:numId w:val="1"/>
      </w:numPr>
      <w:ind w:hanging="0" w:start="720" w:end="0"/>
      <w:outlineLvl w:val="7"/>
    </w:pPr>
    <w:rPr>
      <w:rFonts w:ascii="TIMES" w:hAnsi="TIMES" w:cs="TIMES"/>
      <w:i/>
      <w:sz w:val="20"/>
    </w:rPr>
  </w:style>
  <w:style w:type="paragraph" w:styleId="Heading9">
    <w:name w:val="heading 9"/>
    <w:basedOn w:val="Normal"/>
    <w:next w:val="NormalIndent"/>
    <w:qFormat/>
    <w:pPr>
      <w:numPr>
        <w:ilvl w:val="8"/>
        <w:numId w:val="1"/>
      </w:numPr>
      <w:ind w:hanging="0" w:start="720" w:end="0"/>
      <w:outlineLvl w:val="8"/>
    </w:pPr>
    <w:rPr>
      <w:rFonts w:ascii="TIMES" w:hAnsi="TIMES" w:cs="TIMES"/>
      <w:i/>
      <w:sz w:val="20"/>
    </w:rPr>
  </w:style>
  <w:style w:type="character" w:styleId="WW8Num3z0">
    <w:name w:val="WW8Num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tabs>
        <w:tab w:val="clear" w:pos="720"/>
        <w:tab w:val="left" w:pos="8640" w:leader="none"/>
      </w:tabs>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IMES" w:hAnsi="TIMES" w:cs="TIMES"/>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IMES" w:hAnsi="TIMES" w:cs="TIMES"/>
      <w:vanish/>
      <w:color w:val="FF0000"/>
      <w:sz w:val="26"/>
    </w:rPr>
  </w:style>
  <w:style w:type="paragraph" w:styleId="Expanded">
    <w:name w:val="Expanded"/>
    <w:basedOn w:val="Normal"/>
    <w:next w:val="Normal"/>
    <w:qFormat/>
    <w:pPr>
      <w:spacing w:before="0" w:after="240"/>
      <w:jc w:val="center"/>
    </w:pPr>
    <w:rPr>
      <w:rFonts w:ascii="TIMES" w:hAnsi="TIMES" w:cs="TIMES"/>
      <w:b/>
      <w:caps/>
      <w:spacing w:val="60"/>
      <w:sz w:val="26"/>
    </w:rPr>
  </w:style>
  <w:style w:type="paragraph" w:styleId="Justified">
    <w:name w:val="Justified"/>
    <w:basedOn w:val="Normal"/>
    <w:next w:val="Heading2"/>
    <w:qFormat/>
    <w:pPr>
      <w:spacing w:before="0" w:after="120"/>
      <w:jc w:val="both"/>
    </w:pPr>
    <w:rPr>
      <w:rFonts w:ascii="TIMES" w:hAnsi="TIMES" w:cs="TIMES"/>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ind w:hanging="0" w:start="720" w:end="0"/>
    </w:pPr>
    <w:rPr>
      <w:sz w:val="20"/>
    </w:rPr>
  </w:style>
  <w:style w:type="paragraph" w:styleId="BodyTextIndent2">
    <w:name w:val="Body Text Indent 2"/>
    <w:basedOn w:val="Normal"/>
    <w:qFormat/>
    <w:pPr>
      <w:ind w:hanging="0" w:start="288" w:end="0"/>
    </w:pPr>
    <w:rPr>
      <w:sz w:val="20"/>
    </w:rPr>
  </w:style>
  <w:style w:type="paragraph" w:styleId="BodyTextIndent">
    <w:name w:val="Body Text Indent"/>
    <w:basedOn w:val="Normal"/>
    <w:pPr>
      <w:tabs>
        <w:tab w:val="clear" w:pos="720"/>
        <w:tab w:val="left" w:pos="8640" w:leader="none"/>
      </w:tabs>
      <w:ind w:hanging="5580" w:start="5580" w:end="0"/>
      <w:jc w:val="both"/>
    </w:pPr>
    <w:rPr>
      <w:rFonts w:ascii="Arial Narrow" w:hAnsi="Arial Narrow" w:cs="Arial Narrow"/>
      <w:sz w:val="18"/>
    </w:rPr>
  </w:style>
  <w:style w:type="paragraph" w:styleId="Title">
    <w:name w:val="Title"/>
    <w:basedOn w:val="Normal"/>
    <w:next w:val="BodyText"/>
    <w:qFormat/>
    <w:pPr>
      <w:jc w:val="center"/>
    </w:pPr>
    <w:rPr>
      <w:rFonts w:ascii="Arial" w:hAnsi="Arial" w:cs="Arial"/>
      <w:b/>
      <w:sz w:val="21"/>
    </w:rPr>
  </w:style>
  <w:style w:type="paragraph" w:styleId="BodyText3">
    <w:name w:val="Body Text 3"/>
    <w:basedOn w:val="Normal"/>
    <w:qFormat/>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2000-10-26T16:37:00Z</dcterms:created>
  <dc:creator>vv24f</dc:creator>
  <dc:description/>
  <dc:language>en-CA</dc:language>
  <cp:lastModifiedBy>scurlee</cp:lastModifiedBy>
  <cp:lastPrinted>2000-10-27T10:06:00Z</cp:lastPrinted>
  <dcterms:modified xsi:type="dcterms:W3CDTF">2000-10-27T12:39:00Z</dcterms:modified>
  <cp:revision>7</cp:revision>
  <dc:subject/>
  <dc:title>ENFOLIO® MASTER FIRM PURCHASE/SALE AGREEMENT</dc:title>
</cp:coreProperties>
</file>