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Helv" w:hAnsi="Helv" w:cs="Helv"/>
          <w:b/>
          <w:lang w:eastAsia="en-US"/>
        </w:rPr>
      </w:pPr>
      <w:r>
        <w:rPr>
          <w:rFonts w:cs="Helv" w:ascii="Helv" w:hAnsi="Helv"/>
          <w:b/>
          <w:lang w:eastAsia="en-US"/>
        </w:rPr>
        <w:t>Swap - Queensland NEM OffPeak 01/03/00 - 31/05/00</w:t>
      </w:r>
    </w:p>
    <w:p>
      <w:pPr>
        <w:pStyle w:val="Normal"/>
        <w:spacing w:lineRule="atLeast" w:line="240"/>
        <w:jc w:val="both"/>
        <w:rPr>
          <w:rFonts w:ascii="Helv" w:hAnsi="Helv" w:cs="Helv"/>
          <w:b/>
          <w:lang w:eastAsia="en-US"/>
        </w:rPr>
      </w:pPr>
      <w:r>
        <w:rPr>
          <w:rFonts w:cs="Helv" w:ascii="Helv" w:hAnsi="Helv"/>
          <w:b/>
          <w:lang w:eastAsia="en-US"/>
        </w:rPr>
      </w:r>
    </w:p>
    <w:p>
      <w:pPr>
        <w:pStyle w:val="Normal"/>
        <w:spacing w:lineRule="atLeast" w:line="240"/>
        <w:ind w:hanging="720" w:start="720" w:end="0"/>
        <w:jc w:val="both"/>
        <w:rPr>
          <w:rFonts w:ascii="Helv" w:hAnsi="Helv" w:cs="Helv"/>
          <w:lang w:eastAsia="en-US"/>
        </w:rPr>
      </w:pPr>
      <w:r>
        <w:rPr>
          <w:rFonts w:cs="Helv" w:ascii="Helv" w:hAnsi="Helv"/>
          <w:lang w:eastAsia="en-US"/>
        </w:rPr>
        <w:t>1.</w:t>
        <w:tab/>
        <w:t>A Transaction under which the Seller is obliged to pay to the Buyer the difference between the Floating Amount and the Fixed Amount (Difference Payment) where the Floating Price is above the Fixed Price, and the Buyer is obliged to pay to the Seller the Difference Payment where the Floating Price is below the Fixed Price in respect of each Calculation Period. The Fixed Price shall be the price submitted by the Counterparty via EnronOnline. The Floating Price shall be the Index.</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ind w:hanging="720" w:start="720" w:end="0"/>
        <w:jc w:val="both"/>
        <w:rPr>
          <w:rFonts w:ascii="Helv" w:hAnsi="Helv" w:cs="Helv"/>
          <w:lang w:eastAsia="en-US"/>
        </w:rPr>
      </w:pPr>
      <w:r>
        <w:rPr>
          <w:rFonts w:cs="Helv" w:ascii="Helv" w:hAnsi="Helv"/>
          <w:lang w:eastAsia="en-US"/>
        </w:rPr>
        <w:t>2.</w:t>
        <w:tab/>
        <w:t xml:space="preserve">The Notional Quantity per Calculation Period shall be the volume for the relevant Calculation Period shown in megawatt hours (MWh).  The Counterparty will submit a volume in megawatts (MW) via EnronOnline. This number will be divided in half to convert it into MWh. This number will be used to calculate the Notional Quantity per Calculation Period. </w:t>
      </w:r>
    </w:p>
    <w:p>
      <w:pPr>
        <w:pStyle w:val="Normal"/>
        <w:spacing w:lineRule="atLeast" w:line="240"/>
        <w:jc w:val="both"/>
        <w:rPr>
          <w:rFonts w:ascii="Helv" w:hAnsi="Helv" w:cs="Helv"/>
          <w:lang w:eastAsia="en-US"/>
        </w:rPr>
      </w:pPr>
      <w:r>
        <w:rPr>
          <w:rFonts w:cs="Helv" w:ascii="Helv" w:hAnsi="Helv"/>
          <w:lang w:eastAsia="en-US"/>
        </w:rPr>
      </w:r>
    </w:p>
    <w:p>
      <w:pPr>
        <w:pStyle w:val="Normal"/>
        <w:spacing w:lineRule="atLeast" w:line="240"/>
        <w:jc w:val="both"/>
        <w:rPr>
          <w:rFonts w:ascii="Helv" w:hAnsi="Helv" w:cs="Helv"/>
          <w:lang w:eastAsia="en-US"/>
        </w:rPr>
      </w:pPr>
      <w:r>
        <w:rPr>
          <w:rFonts w:cs="Helv" w:ascii="Helv" w:hAnsi="Helv"/>
          <w:lang w:eastAsia="en-US"/>
        </w:rPr>
        <w:t>3.</w:t>
        <w:tab/>
        <w:t xml:space="preserve">The Enron contracting party is Enron Australia Finance Pty. Ltd. </w:t>
      </w:r>
    </w:p>
    <w:p>
      <w:pPr>
        <w:pStyle w:val="Normal"/>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4.</w:t>
        <w:tab/>
        <w:t>The term of the Transaction shall be from the Effective Date to the Termination Date inclusive. The Effective Date is 01/03/00. The Termination Date is 31/05/00.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5.</w:t>
        <w:tab/>
        <w:t>The Index shall be the spot price at the Queensland regional reference node as determined under the National Code.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hanging="720" w:start="720" w:end="0"/>
        <w:jc w:val="both"/>
        <w:rPr>
          <w:rFonts w:ascii="Helv" w:hAnsi="Helv" w:cs="Helv"/>
          <w:lang w:eastAsia="en-US"/>
        </w:rPr>
      </w:pPr>
      <w:r>
        <w:rPr>
          <w:rFonts w:cs="Helv" w:ascii="Helv" w:hAnsi="Helv"/>
          <w:lang w:eastAsia="en-US"/>
        </w:rPr>
        <w:t>6.</w:t>
        <w:tab/>
        <w:t>The Calculation Periods are the half-hourly intervals falling within each “Queensland NEM OffPeak” period during the term of the Transaction. Queensland NEM OffPeak covers the following half-hour periods: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start="720" w:end="0"/>
        <w:jc w:val="both"/>
        <w:rPr>
          <w:rFonts w:ascii="Helv" w:hAnsi="Helv" w:cs="Helv"/>
          <w:lang w:eastAsia="en-US"/>
        </w:rPr>
      </w:pPr>
      <w:r>
        <w:rPr>
          <w:rFonts w:cs="Helv" w:ascii="Helv" w:hAnsi="Helv"/>
          <w:lang w:eastAsia="en-US"/>
        </w:rPr>
        <w:t>(i) The half-hour period ending at 00:30 hours to the half-hour period ending 07:00 on Brisbane Business 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start="720" w:end="0"/>
        <w:jc w:val="both"/>
        <w:rPr>
          <w:rFonts w:ascii="Helv" w:hAnsi="Helv" w:cs="Helv"/>
          <w:lang w:eastAsia="en-US"/>
        </w:rPr>
      </w:pPr>
      <w:r>
        <w:rPr>
          <w:rFonts w:cs="Helv" w:ascii="Helv" w:hAnsi="Helv"/>
          <w:lang w:eastAsia="en-US"/>
        </w:rPr>
        <w:t>(ii) The half-hour period ending 22:30 to the half-hour period ending 00:00 on Brisbane Business 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start="720" w:end="0"/>
        <w:jc w:val="both"/>
        <w:rPr>
          <w:rFonts w:ascii="Helv" w:hAnsi="Helv" w:cs="Helv"/>
          <w:lang w:eastAsia="en-US"/>
        </w:rPr>
      </w:pPr>
      <w:r>
        <w:rPr>
          <w:rFonts w:cs="Helv" w:ascii="Helv" w:hAnsi="Helv"/>
          <w:lang w:eastAsia="en-US"/>
        </w:rPr>
        <w:t>(iii) The half-hour period ending 00:30 to the half-hour period ending 00:00 on all days other than Brisbane Business Days.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ind w:start="720" w:end="0"/>
        <w:jc w:val="both"/>
        <w:rPr>
          <w:rFonts w:ascii="Helv" w:hAnsi="Helv" w:cs="Helv"/>
          <w:lang w:eastAsia="en-US"/>
        </w:rPr>
      </w:pPr>
      <w:r>
        <w:rPr>
          <w:rFonts w:cs="Helv" w:ascii="Helv" w:hAnsi="Helv"/>
          <w:lang w:eastAsia="en-US"/>
        </w:rPr>
        <w:t>“</w:t>
      </w:r>
      <w:r>
        <w:rPr>
          <w:rFonts w:cs="Helv" w:ascii="Helv" w:hAnsi="Helv"/>
          <w:lang w:eastAsia="en-US"/>
        </w:rPr>
        <w:t>Brisbane Business Days” means all days on which trading banks are open for business in Brisbane.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Normal"/>
        <w:spacing w:lineRule="atLeast" w:line="240"/>
        <w:ind w:hanging="720" w:start="720" w:end="0"/>
        <w:jc w:val="both"/>
        <w:rPr/>
      </w:pPr>
      <w:r>
        <w:rPr>
          <w:rFonts w:cs="Helv" w:ascii="Helv" w:hAnsi="Helv"/>
          <w:lang w:eastAsia="en-US"/>
        </w:rPr>
        <w:t>7.</w:t>
        <w:tab/>
        <w:t>The Settlement Date(s) shall be in accordance with the schedule established under the National Code (currently the 20</w:t>
      </w:r>
      <w:r>
        <w:rPr>
          <w:rFonts w:cs="Helv" w:ascii="Helv" w:hAnsi="Helv"/>
          <w:vertAlign w:val="superscript"/>
          <w:lang w:eastAsia="en-US"/>
        </w:rPr>
        <w:t>th</w:t>
      </w:r>
      <w:r>
        <w:rPr>
          <w:rFonts w:cs="Helv" w:ascii="Helv" w:hAnsi="Helv"/>
          <w:lang w:eastAsia="en-US"/>
        </w:rPr>
        <w:t xml:space="preserve"> Business Day following the end of the monthly billing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 w:hAnsi="Helv" w:cs="Helv"/>
          <w:lang w:eastAsia="en-US"/>
        </w:rPr>
      </w:pPr>
      <w:r>
        <w:rPr>
          <w:rFonts w:cs="Helv" w:ascii="Helv" w:hAnsi="Helv"/>
          <w:lang w:eastAsia="en-US"/>
        </w:rPr>
      </w:r>
    </w:p>
    <w:p>
      <w:pPr>
        <w:pStyle w:val="BodyText"/>
        <w:ind w:hanging="720" w:start="720" w:end="0"/>
        <w:rPr/>
      </w:pPr>
      <w:r>
        <w:rPr/>
        <w:t>8.</w:t>
        <w:tab/>
        <w:t>Prices shall be quoted in Australian Dollars, which shall be the Contractual Currency. The unit for quoting Fixed and Floating Prices shall be MWh. All references to time are references to Australian Eastern Standard Time.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QLD_EAF_Long_Form_Swap_Vic_OffPeak_Final.doc</w:t>
    </w:r>
    <w:r>
      <w:rPr>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 w:hAnsi="Helv" w:cs="Helv"/>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2000-02-21T01:12:00Z</dcterms:created>
  <dc:creator>David Minns</dc:creator>
  <dc:description/>
  <dc:language>en-CA</dc:language>
  <cp:lastModifiedBy>psmith</cp:lastModifiedBy>
  <cp:lastPrinted>2000-02-21T15:24:00Z</cp:lastPrinted>
  <dcterms:modified xsi:type="dcterms:W3CDTF">2000-02-21T01:55:00Z</dcterms:modified>
  <cp:revision>4</cp:revision>
  <dc:subject/>
  <dc:title>A Transaction under which one Party pays a Floating Amount and the other Party pays a Fixed Amount in respect of the Notional Quantity per Calculation Period</dc:title>
</cp:coreProperties>
</file>