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Queensland NEM Flat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3.</w:t>
        <w:tab/>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5.</w:t>
        <w:tab/>
        <w:t>The Index shall be the spot price at the Queensland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6.</w:t>
        <w:tab/>
        <w:t>The Calculation Periods are the half-hourly intervals falling within each “Queensland NEM Flat” period during the term of the Transaction. Queensland NEM Flat commences with the half-hour period ending at 00:30 hours and ends with the half-hour period ending at 00:00 hours on all days including holidays.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pPr>
      <w:r>
        <w:rPr>
          <w:rFonts w:cs="Helv" w:ascii="Helv" w:hAnsi="Helv"/>
          <w:lang w:eastAsia="en-US"/>
        </w:rPr>
        <w:t>7.</w:t>
        <w:tab/>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QLD_EAF_Long_Form_Swap_Vic_Flat_Final.doc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2000-02-21T01:11:00Z</dcterms:created>
  <dc:creator>David Minns</dc:creator>
  <dc:description/>
  <dc:language>en-CA</dc:language>
  <cp:lastModifiedBy>psmith</cp:lastModifiedBy>
  <cp:lastPrinted>2000-02-21T15:24:00Z</cp:lastPrinted>
  <dcterms:modified xsi:type="dcterms:W3CDTF">2000-02-21T01:54:00Z</dcterms:modified>
  <cp:revision>4</cp:revision>
  <dc:subject/>
  <dc:title>A Transaction under which one Party pays a Floating Amount and the other Party pays a Fixed Amount in respect of the Notional Quantity per Calculation Period</dc:title>
</cp:coreProperties>
</file>