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2"/>
        </w:rPr>
        <w:t>Agenda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Quinn Gillespie/Enron Meeting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September 24, 2001</w:t>
      </w:r>
    </w:p>
    <w:p>
      <w:pPr>
        <w:pStyle w:val="Normal"/>
        <w:jc w:val="center"/>
        <w:rPr/>
      </w:pPr>
      <w:r>
        <w:rPr/>
        <w:t>1800-486-2726</w:t>
      </w:r>
    </w:p>
    <w:p>
      <w:pPr>
        <w:pStyle w:val="Normal"/>
        <w:jc w:val="center"/>
        <w:rPr/>
      </w:pPr>
      <w:r>
        <w:rPr/>
        <w:t>423422</w:t>
      </w:r>
    </w:p>
    <w:p>
      <w:pPr>
        <w:pStyle w:val="Normal"/>
        <w:ind w:firstLine="720" w:start="2160" w:end="0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Goals/Objectives of Enron RTO Effort (see attached power point/org chart)</w:t>
      </w:r>
    </w:p>
    <w:p>
      <w:pPr>
        <w:pStyle w:val="Normal"/>
        <w:numPr>
          <w:ilvl w:val="0"/>
          <w:numId w:val="1"/>
        </w:numPr>
        <w:rPr/>
      </w:pPr>
      <w:r>
        <w:rPr/>
        <w:t>Where We Are To Date</w:t>
      </w:r>
    </w:p>
    <w:p>
      <w:pPr>
        <w:pStyle w:val="Normal"/>
        <w:numPr>
          <w:ilvl w:val="1"/>
          <w:numId w:val="1"/>
        </w:numPr>
        <w:rPr/>
      </w:pPr>
      <w:r>
        <w:rPr/>
        <w:t>NERTO</w:t>
      </w:r>
    </w:p>
    <w:p>
      <w:pPr>
        <w:pStyle w:val="Normal"/>
        <w:numPr>
          <w:ilvl w:val="1"/>
          <w:numId w:val="1"/>
        </w:numPr>
        <w:rPr/>
      </w:pPr>
      <w:r>
        <w:rPr/>
        <w:t>SERTO</w:t>
      </w:r>
    </w:p>
    <w:p>
      <w:pPr>
        <w:pStyle w:val="Normal"/>
        <w:numPr>
          <w:ilvl w:val="1"/>
          <w:numId w:val="1"/>
        </w:numPr>
        <w:rPr/>
      </w:pPr>
      <w:r>
        <w:rPr/>
        <w:t>MISO/ARTO/SPP</w:t>
      </w:r>
    </w:p>
    <w:p>
      <w:pPr>
        <w:pStyle w:val="Normal"/>
        <w:numPr>
          <w:ilvl w:val="1"/>
          <w:numId w:val="1"/>
        </w:numPr>
        <w:rPr/>
      </w:pPr>
      <w:r>
        <w:rPr/>
        <w:t>WRTO</w:t>
      </w:r>
    </w:p>
    <w:p>
      <w:pPr>
        <w:pStyle w:val="Normal"/>
        <w:numPr>
          <w:ilvl w:val="0"/>
          <w:numId w:val="1"/>
        </w:numPr>
        <w:rPr/>
      </w:pPr>
      <w:r>
        <w:rPr/>
        <w:t>Public Relations Aspect</w:t>
      </w:r>
    </w:p>
    <w:p>
      <w:pPr>
        <w:pStyle w:val="Normal"/>
        <w:numPr>
          <w:ilvl w:val="1"/>
          <w:numId w:val="1"/>
        </w:numPr>
        <w:rPr/>
      </w:pPr>
      <w:r>
        <w:rPr/>
        <w:t>Message Development</w:t>
      </w:r>
    </w:p>
    <w:p>
      <w:pPr>
        <w:pStyle w:val="Normal"/>
        <w:numPr>
          <w:ilvl w:val="2"/>
          <w:numId w:val="1"/>
        </w:numPr>
        <w:rPr/>
      </w:pPr>
      <w:r>
        <w:rPr/>
        <w:t>NERTO</w:t>
      </w:r>
    </w:p>
    <w:p>
      <w:pPr>
        <w:pStyle w:val="Normal"/>
        <w:numPr>
          <w:ilvl w:val="2"/>
          <w:numId w:val="1"/>
        </w:numPr>
        <w:rPr/>
      </w:pPr>
      <w:r>
        <w:rPr/>
        <w:t>SERTO</w:t>
      </w:r>
    </w:p>
    <w:p>
      <w:pPr>
        <w:pStyle w:val="Normal"/>
        <w:numPr>
          <w:ilvl w:val="2"/>
          <w:numId w:val="1"/>
        </w:numPr>
        <w:rPr/>
      </w:pPr>
      <w:r>
        <w:rPr/>
        <w:t>MISO/ARTO/SPP</w:t>
      </w:r>
    </w:p>
    <w:p>
      <w:pPr>
        <w:pStyle w:val="Normal"/>
        <w:numPr>
          <w:ilvl w:val="2"/>
          <w:numId w:val="1"/>
        </w:numPr>
        <w:rPr/>
      </w:pPr>
      <w:r>
        <w:rPr/>
        <w:t>WRTO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Communicating our message </w:t>
      </w:r>
    </w:p>
    <w:p>
      <w:pPr>
        <w:pStyle w:val="Normal"/>
        <w:numPr>
          <w:ilvl w:val="1"/>
          <w:numId w:val="1"/>
        </w:numPr>
        <w:rPr/>
      </w:pPr>
      <w:r>
        <w:rPr/>
        <w:t>Vehicles/Forums</w:t>
      </w:r>
    </w:p>
    <w:p>
      <w:pPr>
        <w:pStyle w:val="Normal"/>
        <w:numPr>
          <w:ilvl w:val="0"/>
          <w:numId w:val="1"/>
        </w:numPr>
        <w:rPr/>
      </w:pPr>
      <w:r>
        <w:rPr/>
        <w:t>Media Relations</w:t>
      </w:r>
    </w:p>
    <w:p>
      <w:pPr>
        <w:pStyle w:val="Normal"/>
        <w:numPr>
          <w:ilvl w:val="1"/>
          <w:numId w:val="1"/>
        </w:numPr>
        <w:rPr/>
      </w:pPr>
      <w:r>
        <w:rPr/>
        <w:t>Trade Press</w:t>
      </w:r>
    </w:p>
    <w:p>
      <w:pPr>
        <w:pStyle w:val="Normal"/>
        <w:numPr>
          <w:ilvl w:val="1"/>
          <w:numId w:val="1"/>
        </w:numPr>
        <w:rPr/>
      </w:pPr>
      <w:r>
        <w:rPr/>
        <w:t>Other Media</w:t>
      </w:r>
    </w:p>
    <w:p>
      <w:pPr>
        <w:pStyle w:val="Normal"/>
        <w:numPr>
          <w:ilvl w:val="1"/>
          <w:numId w:val="1"/>
        </w:numPr>
        <w:rPr/>
      </w:pPr>
      <w:r>
        <w:rPr/>
        <w:t>Regional Contacts</w:t>
      </w:r>
    </w:p>
    <w:p>
      <w:pPr>
        <w:pStyle w:val="Normal"/>
        <w:numPr>
          <w:ilvl w:val="0"/>
          <w:numId w:val="1"/>
        </w:numPr>
        <w:rPr/>
      </w:pPr>
      <w:r>
        <w:rPr/>
        <w:t>Press Briefing Materials</w:t>
      </w:r>
    </w:p>
    <w:p>
      <w:pPr>
        <w:pStyle w:val="Normal"/>
        <w:numPr>
          <w:ilvl w:val="1"/>
          <w:numId w:val="1"/>
        </w:numPr>
        <w:rPr/>
      </w:pPr>
      <w:r>
        <w:rPr/>
        <w:t>Fact Sheet</w:t>
      </w:r>
    </w:p>
    <w:p>
      <w:pPr>
        <w:pStyle w:val="Normal"/>
        <w:numPr>
          <w:ilvl w:val="1"/>
          <w:numId w:val="1"/>
        </w:numPr>
        <w:rPr/>
      </w:pPr>
      <w:r>
        <w:rPr/>
        <w:t>History/Backgounder</w:t>
      </w:r>
    </w:p>
    <w:p>
      <w:pPr>
        <w:pStyle w:val="Normal"/>
        <w:numPr>
          <w:ilvl w:val="1"/>
          <w:numId w:val="1"/>
        </w:numPr>
        <w:rPr/>
      </w:pPr>
      <w:r>
        <w:rPr/>
        <w:t>Enron Position Papers</w:t>
      </w:r>
    </w:p>
    <w:p>
      <w:pPr>
        <w:pStyle w:val="Normal"/>
        <w:numPr>
          <w:ilvl w:val="0"/>
          <w:numId w:val="1"/>
        </w:numPr>
        <w:rPr/>
      </w:pPr>
      <w:r>
        <w:rPr/>
        <w:t>Events Requiring Media Attention</w:t>
      </w:r>
    </w:p>
    <w:p>
      <w:pPr>
        <w:pStyle w:val="Normal"/>
        <w:numPr>
          <w:ilvl w:val="2"/>
          <w:numId w:val="1"/>
        </w:numPr>
        <w:rPr/>
      </w:pPr>
      <w:r>
        <w:rPr/>
        <w:t>Background interviews with reporters</w:t>
      </w:r>
    </w:p>
    <w:p>
      <w:pPr>
        <w:pStyle w:val="Normal"/>
        <w:numPr>
          <w:ilvl w:val="2"/>
          <w:numId w:val="1"/>
        </w:numPr>
        <w:rPr/>
      </w:pPr>
      <w:r>
        <w:rPr/>
        <w:t>FERC Filings</w:t>
      </w:r>
    </w:p>
    <w:p>
      <w:pPr>
        <w:pStyle w:val="Normal"/>
        <w:numPr>
          <w:ilvl w:val="2"/>
          <w:numId w:val="1"/>
        </w:numPr>
        <w:rPr/>
      </w:pPr>
      <w:r>
        <w:rPr/>
        <w:t>GNIE (Branding Campaign)</w:t>
      </w:r>
    </w:p>
    <w:p>
      <w:pPr>
        <w:pStyle w:val="Normal"/>
        <w:numPr>
          <w:ilvl w:val="2"/>
          <w:numId w:val="1"/>
        </w:numPr>
        <w:rPr/>
      </w:pPr>
      <w:r>
        <w:rPr/>
        <w:t>Workshops (DOE, EEI, NTGW)</w:t>
      </w:r>
    </w:p>
    <w:p>
      <w:pPr>
        <w:pStyle w:val="Normal"/>
        <w:numPr>
          <w:ilvl w:val="2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2001-09-20T18:04:00Z</dcterms:created>
  <dc:creator>mphilip2</dc:creator>
  <dc:description/>
  <dc:language>en-CA</dc:language>
  <cp:lastModifiedBy>jguerre</cp:lastModifiedBy>
  <dcterms:modified xsi:type="dcterms:W3CDTF">2001-09-21T18:38:00Z</dcterms:modified>
  <cp:revision>6</cp:revision>
  <dc:subject/>
  <dc:title>Agenda</dc:title>
</cp:coreProperties>
</file>