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MEMORANDUM</w:t>
      </w:r>
    </w:p>
    <w:p>
      <w:pPr>
        <w:pStyle w:val="Normal"/>
        <w:rPr/>
      </w:pPr>
      <w:r>
        <w:rPr/>
      </w:r>
    </w:p>
    <w:p>
      <w:pPr>
        <w:pStyle w:val="Normal"/>
        <w:rPr/>
      </w:pPr>
      <w:r>
        <w:rPr/>
      </w:r>
    </w:p>
    <w:p>
      <w:pPr>
        <w:pStyle w:val="Normal"/>
        <w:rPr/>
      </w:pPr>
      <w:r>
        <w:rPr/>
        <w:t xml:space="preserve">To: </w:t>
        <w:tab/>
        <w:t>Barry Tychloiz</w:t>
        <w:tab/>
        <w:tab/>
        <w:tab/>
        <w:tab/>
        <w:tab/>
        <w:t xml:space="preserve">cc: </w:t>
        <w:tab/>
        <w:t>Mark Whitt</w:t>
      </w:r>
    </w:p>
    <w:p>
      <w:pPr>
        <w:pStyle w:val="Normal"/>
        <w:rPr/>
      </w:pPr>
      <w:r>
        <w:rPr/>
        <w:tab/>
        <w:tab/>
        <w:tab/>
        <w:tab/>
        <w:tab/>
        <w:tab/>
        <w:tab/>
        <w:tab/>
        <w:tab/>
      </w:r>
    </w:p>
    <w:p>
      <w:pPr>
        <w:pStyle w:val="Normal"/>
        <w:rPr/>
      </w:pPr>
      <w:r>
        <w:rPr/>
        <w:t xml:space="preserve">From: </w:t>
        <w:tab/>
        <w:t>Dave Fuller</w:t>
      </w:r>
    </w:p>
    <w:p>
      <w:pPr>
        <w:pStyle w:val="Normal"/>
        <w:rPr/>
      </w:pPr>
      <w:r>
        <w:rPr/>
      </w:r>
    </w:p>
    <w:p>
      <w:pPr>
        <w:pStyle w:val="Normal"/>
        <w:rPr/>
      </w:pPr>
      <w:r>
        <w:rPr/>
        <w:t xml:space="preserve">Date: </w:t>
        <w:tab/>
        <w:t>April 10, 2001</w:t>
      </w:r>
    </w:p>
    <w:p>
      <w:pPr>
        <w:pStyle w:val="Normal"/>
        <w:rPr/>
      </w:pPr>
      <w:r>
        <w:rPr/>
      </w:r>
    </w:p>
    <w:p>
      <w:pPr>
        <w:pStyle w:val="Normal"/>
        <w:rPr/>
      </w:pPr>
      <w:r>
        <w:rPr/>
        <w:t xml:space="preserve">Re: </w:t>
        <w:tab/>
        <w:t>California Qualifying Facilities (QFs)</w:t>
      </w:r>
    </w:p>
    <w:p>
      <w:pPr>
        <w:pStyle w:val="Normal"/>
        <w:rPr/>
      </w:pPr>
      <w:r>
        <w:rPr/>
      </w:r>
    </w:p>
    <w:p>
      <w:pPr>
        <w:pStyle w:val="standard"/>
        <w:spacing w:lineRule="auto" w:line="240"/>
        <w:ind w:hanging="0" w:end="0"/>
        <w:rPr>
          <w:b/>
          <w:bCs/>
          <w:sz w:val="24"/>
          <w:u w:val="single"/>
        </w:rPr>
      </w:pPr>
      <w:r>
        <w:rPr>
          <w:b/>
          <w:bCs/>
          <w:sz w:val="24"/>
          <w:u w:val="single"/>
        </w:rPr>
        <w:t>Summary</w:t>
      </w:r>
    </w:p>
    <w:p>
      <w:pPr>
        <w:pStyle w:val="standard"/>
        <w:spacing w:lineRule="auto" w:line="240"/>
        <w:ind w:hanging="0" w:end="0"/>
        <w:rPr>
          <w:b/>
          <w:bCs/>
          <w:sz w:val="24"/>
          <w:u w:val="single"/>
        </w:rPr>
      </w:pPr>
      <w:r>
        <w:rPr>
          <w:b/>
          <w:bCs/>
          <w:sz w:val="24"/>
          <w:u w:val="single"/>
        </w:rPr>
      </w:r>
    </w:p>
    <w:p>
      <w:pPr>
        <w:pStyle w:val="standard"/>
        <w:spacing w:lineRule="auto" w:line="240"/>
        <w:ind w:hanging="0" w:end="0"/>
        <w:rPr>
          <w:sz w:val="24"/>
        </w:rPr>
      </w:pPr>
      <w:r>
        <w:rPr>
          <w:sz w:val="24"/>
        </w:rPr>
        <w:t>Private producers of electricity in California who have QF status are governed by the California Public Utilities Commission (CPUC).  The CPUC recently rendered a decision to modify the formula for calculating the energy payments that Southern California Edison (SCE) pays its QF generators.  The decision adopts a procedure to replace the Topock index with a Malin index.  The formula applies to the energy payments for all QFs, including those who do not use natural gas as a fuel.  This could cause considerable financial damage to gas fired QF owners in Southern California who buy gas at a Topock index since they are now selling Malin and buying Topock.</w:t>
      </w:r>
    </w:p>
    <w:p>
      <w:pPr>
        <w:pStyle w:val="standard"/>
        <w:spacing w:lineRule="auto" w:line="240"/>
        <w:rPr>
          <w:sz w:val="24"/>
        </w:rPr>
      </w:pPr>
      <w:r>
        <w:rPr>
          <w:sz w:val="24"/>
        </w:rPr>
      </w:r>
    </w:p>
    <w:p>
      <w:pPr>
        <w:pStyle w:val="standard"/>
        <w:spacing w:lineRule="auto" w:line="240"/>
        <w:ind w:hanging="0" w:end="0"/>
        <w:rPr>
          <w:b/>
          <w:bCs/>
          <w:sz w:val="24"/>
          <w:u w:val="single"/>
        </w:rPr>
      </w:pPr>
      <w:r>
        <w:rPr>
          <w:b/>
          <w:bCs/>
          <w:sz w:val="24"/>
          <w:u w:val="single"/>
        </w:rPr>
        <w:t xml:space="preserve">Marketing Opportunities </w:t>
      </w:r>
    </w:p>
    <w:p>
      <w:pPr>
        <w:pStyle w:val="standard"/>
        <w:spacing w:lineRule="auto" w:line="240"/>
        <w:ind w:hanging="0" w:end="0"/>
        <w:rPr>
          <w:b/>
          <w:bCs/>
          <w:sz w:val="24"/>
          <w:u w:val="single"/>
        </w:rPr>
      </w:pPr>
      <w:r>
        <w:rPr>
          <w:b/>
          <w:bCs/>
          <w:sz w:val="24"/>
          <w:u w:val="single"/>
        </w:rPr>
      </w:r>
    </w:p>
    <w:p>
      <w:pPr>
        <w:pStyle w:val="standard"/>
        <w:spacing w:lineRule="auto" w:line="240"/>
        <w:ind w:hanging="0" w:end="0"/>
        <w:rPr>
          <w:sz w:val="24"/>
        </w:rPr>
      </w:pPr>
      <w:r>
        <w:rPr>
          <w:sz w:val="24"/>
        </w:rPr>
        <w:t>The decision may create opportunities for Enron to sell risk management products and physical gas using structures that minimize its impacts.  Some examples include:</w:t>
      </w:r>
    </w:p>
    <w:p>
      <w:pPr>
        <w:pStyle w:val="standard"/>
        <w:spacing w:lineRule="auto" w:line="240"/>
        <w:ind w:hanging="0" w:end="0"/>
        <w:rPr>
          <w:sz w:val="24"/>
        </w:rPr>
      </w:pPr>
      <w:r>
        <w:rPr>
          <w:sz w:val="24"/>
        </w:rPr>
      </w:r>
    </w:p>
    <w:p>
      <w:pPr>
        <w:pStyle w:val="standard"/>
        <w:numPr>
          <w:ilvl w:val="0"/>
          <w:numId w:val="2"/>
        </w:numPr>
        <w:spacing w:lineRule="auto" w:line="240"/>
        <w:rPr>
          <w:sz w:val="24"/>
        </w:rPr>
      </w:pPr>
      <w:r>
        <w:rPr>
          <w:sz w:val="24"/>
        </w:rPr>
        <w:t xml:space="preserve">Sell physical gas delivered into Southern California, priced off Malin.  This would be the simplest way to help generators hedge, many of whom buy gas at daily or monthly index.  </w:t>
      </w:r>
    </w:p>
    <w:p>
      <w:pPr>
        <w:pStyle w:val="standard"/>
        <w:spacing w:lineRule="auto" w:line="240"/>
        <w:ind w:hanging="0" w:start="360" w:end="0"/>
        <w:rPr>
          <w:sz w:val="24"/>
        </w:rPr>
      </w:pPr>
      <w:r>
        <w:rPr>
          <w:sz w:val="24"/>
        </w:rPr>
      </w:r>
    </w:p>
    <w:p>
      <w:pPr>
        <w:pStyle w:val="standard"/>
        <w:numPr>
          <w:ilvl w:val="0"/>
          <w:numId w:val="2"/>
        </w:numPr>
        <w:spacing w:lineRule="auto" w:line="240"/>
        <w:rPr>
          <w:sz w:val="24"/>
        </w:rPr>
      </w:pPr>
      <w:r>
        <w:rPr>
          <w:sz w:val="24"/>
        </w:rPr>
        <w:t>Sell term swaps in which we sell Malin and buy SoCal from the generator.  This would be well suited to generators who have term gas contracts in place at SoCal index.  Depending on the term, this probably locks in a loss but it prevents larger losses from occurring.  The current May-Oct spread is $3.87 (Topock over Malin).</w:t>
      </w:r>
    </w:p>
    <w:p>
      <w:pPr>
        <w:pStyle w:val="standard"/>
        <w:spacing w:lineRule="auto" w:line="240"/>
        <w:ind w:hanging="0" w:end="0"/>
        <w:rPr>
          <w:sz w:val="24"/>
        </w:rPr>
      </w:pPr>
      <w:r>
        <w:rPr>
          <w:sz w:val="24"/>
        </w:rPr>
      </w:r>
    </w:p>
    <w:p>
      <w:pPr>
        <w:pStyle w:val="standard"/>
        <w:numPr>
          <w:ilvl w:val="0"/>
          <w:numId w:val="2"/>
        </w:numPr>
        <w:spacing w:lineRule="auto" w:line="240"/>
        <w:rPr>
          <w:sz w:val="24"/>
        </w:rPr>
      </w:pPr>
      <w:r>
        <w:rPr>
          <w:sz w:val="24"/>
        </w:rPr>
        <w:t>Sell options to enter into either 1 or 2 above (swaptions).</w:t>
      </w:r>
    </w:p>
    <w:p>
      <w:pPr>
        <w:pStyle w:val="standard"/>
        <w:spacing w:lineRule="auto" w:line="240"/>
        <w:ind w:hanging="0" w:end="0"/>
        <w:rPr>
          <w:sz w:val="24"/>
        </w:rPr>
      </w:pPr>
      <w:r>
        <w:rPr>
          <w:sz w:val="24"/>
        </w:rPr>
      </w:r>
    </w:p>
    <w:p>
      <w:pPr>
        <w:pStyle w:val="standard"/>
        <w:numPr>
          <w:ilvl w:val="0"/>
          <w:numId w:val="2"/>
        </w:numPr>
        <w:spacing w:lineRule="auto" w:line="240"/>
        <w:rPr>
          <w:sz w:val="24"/>
        </w:rPr>
      </w:pPr>
      <w:r>
        <w:rPr>
          <w:sz w:val="24"/>
        </w:rPr>
        <w:t>Sell swaps to non-gas generators.  Non-gas generators may want to lay off the price risks they hold vis-a-vis the Malin index.</w:t>
      </w:r>
    </w:p>
    <w:p>
      <w:pPr>
        <w:pStyle w:val="standard"/>
        <w:spacing w:lineRule="auto" w:line="240"/>
        <w:ind w:hanging="0" w:start="360" w:end="0"/>
        <w:rPr>
          <w:sz w:val="24"/>
        </w:rPr>
      </w:pPr>
      <w:r>
        <w:rPr>
          <w:sz w:val="24"/>
        </w:rPr>
      </w:r>
    </w:p>
    <w:p>
      <w:pPr>
        <w:pStyle w:val="standard"/>
        <w:spacing w:lineRule="auto" w:line="240"/>
        <w:ind w:hanging="0" w:start="360" w:end="0"/>
        <w:rPr>
          <w:sz w:val="24"/>
        </w:rPr>
      </w:pPr>
      <w:r>
        <w:rPr>
          <w:sz w:val="24"/>
        </w:rPr>
      </w:r>
    </w:p>
    <w:p>
      <w:pPr>
        <w:pStyle w:val="standard"/>
        <w:spacing w:lineRule="auto" w:line="240"/>
        <w:ind w:hanging="0" w:start="360" w:end="0"/>
        <w:rPr>
          <w:sz w:val="24"/>
        </w:rPr>
      </w:pPr>
      <w:r>
        <w:rPr>
          <w:sz w:val="24"/>
        </w:rPr>
      </w:r>
    </w:p>
    <w:p>
      <w:pPr>
        <w:pStyle w:val="standard"/>
        <w:spacing w:lineRule="auto" w:line="240"/>
        <w:ind w:hanging="0" w:end="0"/>
        <w:rPr>
          <w:b/>
          <w:bCs/>
          <w:sz w:val="24"/>
          <w:u w:val="single"/>
        </w:rPr>
      </w:pPr>
      <w:r>
        <w:rPr>
          <w:b/>
          <w:bCs/>
          <w:sz w:val="24"/>
          <w:u w:val="single"/>
        </w:rPr>
        <w:t xml:space="preserve">Risks </w:t>
      </w:r>
    </w:p>
    <w:p>
      <w:pPr>
        <w:pStyle w:val="standard"/>
        <w:spacing w:lineRule="auto" w:line="240"/>
        <w:ind w:hanging="0" w:end="0"/>
        <w:rPr>
          <w:b/>
          <w:bCs/>
          <w:sz w:val="24"/>
          <w:u w:val="single"/>
        </w:rPr>
      </w:pPr>
      <w:r>
        <w:rPr>
          <w:b/>
          <w:bCs/>
          <w:sz w:val="24"/>
          <w:u w:val="single"/>
        </w:rPr>
      </w:r>
    </w:p>
    <w:p>
      <w:pPr>
        <w:pStyle w:val="standard"/>
        <w:numPr>
          <w:ilvl w:val="0"/>
          <w:numId w:val="1"/>
        </w:numPr>
        <w:spacing w:lineRule="auto" w:line="240"/>
        <w:rPr>
          <w:sz w:val="24"/>
        </w:rPr>
      </w:pPr>
      <w:r>
        <w:rPr>
          <w:sz w:val="24"/>
        </w:rPr>
        <w:t>Regulatory.    There is significant risk of a regulatory flip-flop.  Already a group of five generators has filed a petition with FERC stating that the decision violates the Public Utilities Regulatory Policy Act (PURPA) as it pays generators less than avoided cost.  The previous Topock based formula was in place for four years.</w:t>
      </w:r>
    </w:p>
    <w:p>
      <w:pPr>
        <w:pStyle w:val="standard"/>
        <w:spacing w:lineRule="auto" w:line="240"/>
        <w:ind w:hanging="0" w:start="360" w:end="0"/>
        <w:rPr>
          <w:sz w:val="24"/>
        </w:rPr>
      </w:pPr>
      <w:r>
        <w:rPr>
          <w:sz w:val="24"/>
        </w:rPr>
      </w:r>
    </w:p>
    <w:p>
      <w:pPr>
        <w:pStyle w:val="standard"/>
        <w:numPr>
          <w:ilvl w:val="0"/>
          <w:numId w:val="1"/>
        </w:numPr>
        <w:spacing w:lineRule="auto" w:line="240"/>
        <w:rPr>
          <w:sz w:val="24"/>
        </w:rPr>
      </w:pPr>
      <w:r>
        <w:rPr>
          <w:sz w:val="24"/>
        </w:rPr>
        <w:t>Counterparty.  There is also significant risk that generators get so upside down they can’t perform on their obligations.  Many of them are small companies and LLC’s  (Credit’s position on these guys is discussed below).  It is too early to tell whether or not SCE will be consistently paying these guys going forward.</w:t>
      </w:r>
    </w:p>
    <w:p>
      <w:pPr>
        <w:pStyle w:val="standard"/>
        <w:spacing w:lineRule="auto" w:line="240"/>
        <w:ind w:hanging="0" w:end="0"/>
        <w:rPr>
          <w:sz w:val="24"/>
        </w:rPr>
      </w:pPr>
      <w:r>
        <w:rPr>
          <w:sz w:val="24"/>
        </w:rPr>
      </w:r>
    </w:p>
    <w:p>
      <w:pPr>
        <w:pStyle w:val="standard"/>
        <w:numPr>
          <w:ilvl w:val="0"/>
          <w:numId w:val="1"/>
        </w:numPr>
        <w:spacing w:lineRule="auto" w:line="240"/>
        <w:rPr>
          <w:sz w:val="24"/>
        </w:rPr>
      </w:pPr>
      <w:r>
        <w:rPr>
          <w:sz w:val="24"/>
        </w:rPr>
        <w:t xml:space="preserve">Liquidity.  Liquidity at Malin may be a problem and the desk may not trade on this structure (especially an option based structure) or may charge high prices. </w:t>
      </w:r>
    </w:p>
    <w:p>
      <w:pPr>
        <w:pStyle w:val="standard"/>
        <w:spacing w:lineRule="auto" w:line="240"/>
        <w:ind w:hanging="0" w:end="0"/>
        <w:rPr>
          <w:b/>
          <w:bCs/>
          <w:sz w:val="24"/>
          <w:u w:val="single"/>
        </w:rPr>
      </w:pPr>
      <w:r>
        <w:rPr>
          <w:b/>
          <w:bCs/>
          <w:sz w:val="24"/>
          <w:u w:val="single"/>
        </w:rPr>
      </w:r>
    </w:p>
    <w:p>
      <w:pPr>
        <w:pStyle w:val="standard"/>
        <w:spacing w:lineRule="auto" w:line="240"/>
        <w:ind w:hanging="0" w:end="0"/>
        <w:rPr>
          <w:b/>
          <w:bCs/>
          <w:sz w:val="24"/>
          <w:u w:val="single"/>
        </w:rPr>
      </w:pPr>
      <w:r>
        <w:rPr>
          <w:b/>
          <w:bCs/>
          <w:sz w:val="24"/>
          <w:u w:val="single"/>
        </w:rPr>
        <w:t>Credit</w:t>
      </w:r>
    </w:p>
    <w:p>
      <w:pPr>
        <w:pStyle w:val="standard"/>
        <w:spacing w:lineRule="auto" w:line="240"/>
        <w:ind w:hanging="0" w:end="0"/>
        <w:rPr>
          <w:b/>
          <w:bCs/>
          <w:sz w:val="24"/>
          <w:u w:val="single"/>
        </w:rPr>
      </w:pPr>
      <w:r>
        <w:rPr>
          <w:b/>
          <w:bCs/>
          <w:sz w:val="24"/>
          <w:u w:val="single"/>
        </w:rPr>
      </w:r>
    </w:p>
    <w:p>
      <w:pPr>
        <w:pStyle w:val="standard"/>
        <w:spacing w:lineRule="auto" w:line="240"/>
        <w:ind w:hanging="0" w:end="0"/>
        <w:rPr>
          <w:sz w:val="24"/>
        </w:rPr>
      </w:pPr>
      <w:r>
        <w:rPr>
          <w:sz w:val="24"/>
        </w:rPr>
        <w:t>Credit views QFs on a case-by-case basis.  QF owners range in size from small companies to major oil and power companies.  However, even at major companies, SPV’s like LLCs are set up to hold the generation assets.  So project finance status can be an issue.  In addition, their contractual ties to the near-bankrupt utility can cause problems.  These are not insurmountable and the power desk is currently working with several of them.</w:t>
      </w:r>
    </w:p>
    <w:p>
      <w:pPr>
        <w:pStyle w:val="standard"/>
        <w:spacing w:lineRule="auto" w:line="240"/>
        <w:ind w:hanging="0" w:end="0"/>
        <w:rPr>
          <w:sz w:val="24"/>
        </w:rPr>
      </w:pPr>
      <w:r>
        <w:rPr>
          <w:sz w:val="24"/>
        </w:rPr>
      </w:r>
    </w:p>
    <w:p>
      <w:pPr>
        <w:pStyle w:val="standard"/>
        <w:spacing w:lineRule="auto" w:line="240"/>
        <w:ind w:hanging="0" w:end="0"/>
        <w:rPr>
          <w:b/>
          <w:bCs/>
          <w:sz w:val="24"/>
          <w:u w:val="single"/>
        </w:rPr>
      </w:pPr>
      <w:r>
        <w:rPr>
          <w:b/>
          <w:bCs/>
          <w:sz w:val="24"/>
          <w:u w:val="single"/>
        </w:rPr>
        <w:t>Recommended Actions</w:t>
      </w:r>
    </w:p>
    <w:p>
      <w:pPr>
        <w:pStyle w:val="standard"/>
        <w:spacing w:lineRule="auto" w:line="240"/>
        <w:ind w:hanging="0" w:end="0"/>
        <w:rPr>
          <w:b/>
          <w:bCs/>
          <w:sz w:val="24"/>
          <w:u w:val="single"/>
        </w:rPr>
      </w:pPr>
      <w:r>
        <w:rPr>
          <w:b/>
          <w:bCs/>
          <w:sz w:val="24"/>
          <w:u w:val="single"/>
        </w:rPr>
      </w:r>
    </w:p>
    <w:p>
      <w:pPr>
        <w:pStyle w:val="standard"/>
        <w:numPr>
          <w:ilvl w:val="0"/>
          <w:numId w:val="3"/>
        </w:numPr>
        <w:spacing w:lineRule="auto" w:line="240"/>
        <w:rPr>
          <w:sz w:val="24"/>
        </w:rPr>
      </w:pPr>
      <w:r>
        <w:rPr>
          <w:sz w:val="24"/>
        </w:rPr>
        <w:t>Contact QFs and assess their appetite for these structures (or others).</w:t>
      </w:r>
    </w:p>
    <w:p>
      <w:pPr>
        <w:pStyle w:val="standard"/>
        <w:spacing w:lineRule="auto" w:line="240"/>
        <w:ind w:hanging="0" w:start="360" w:end="0"/>
        <w:rPr>
          <w:sz w:val="24"/>
        </w:rPr>
      </w:pPr>
      <w:r>
        <w:rPr>
          <w:sz w:val="24"/>
        </w:rPr>
      </w:r>
    </w:p>
    <w:p>
      <w:pPr>
        <w:pStyle w:val="standard"/>
        <w:numPr>
          <w:ilvl w:val="0"/>
          <w:numId w:val="3"/>
        </w:numPr>
        <w:spacing w:lineRule="auto" w:line="240"/>
        <w:rPr>
          <w:sz w:val="24"/>
        </w:rPr>
      </w:pPr>
      <w:r>
        <w:rPr>
          <w:sz w:val="24"/>
        </w:rPr>
        <w:t>Size up credit and get trading agreements in place.</w:t>
      </w:r>
    </w:p>
    <w:p>
      <w:pPr>
        <w:pStyle w:val="standard"/>
        <w:spacing w:lineRule="auto" w:line="240"/>
        <w:ind w:hanging="0" w:end="0"/>
        <w:rPr>
          <w:sz w:val="24"/>
        </w:rPr>
      </w:pPr>
      <w:r>
        <w:rPr>
          <w:sz w:val="24"/>
        </w:rPr>
      </w:r>
    </w:p>
    <w:p>
      <w:pPr>
        <w:pStyle w:val="standard"/>
        <w:numPr>
          <w:ilvl w:val="0"/>
          <w:numId w:val="3"/>
        </w:numPr>
        <w:spacing w:lineRule="auto" w:line="240"/>
        <w:rPr>
          <w:sz w:val="24"/>
        </w:rPr>
      </w:pPr>
      <w:r>
        <w:rPr>
          <w:sz w:val="24"/>
        </w:rPr>
        <w:t>Attend regulatory meetings on 4/17 and 4/19.</w:t>
      </w:r>
    </w:p>
    <w:p>
      <w:pPr>
        <w:pStyle w:val="standard"/>
        <w:spacing w:lineRule="auto" w:line="240"/>
        <w:ind w:hanging="0" w:end="0"/>
        <w:rPr>
          <w:sz w:val="24"/>
        </w:rPr>
      </w:pPr>
      <w:r>
        <w:rPr>
          <w:sz w:val="24"/>
        </w:rPr>
      </w:r>
    </w:p>
    <w:p>
      <w:pPr>
        <w:pStyle w:val="standard"/>
        <w:numPr>
          <w:ilvl w:val="0"/>
          <w:numId w:val="3"/>
        </w:numPr>
        <w:spacing w:lineRule="auto" w:line="240"/>
        <w:rPr>
          <w:sz w:val="24"/>
        </w:rPr>
      </w:pPr>
      <w:r>
        <w:rPr>
          <w:sz w:val="24"/>
        </w:rPr>
        <w:t xml:space="preserve">Work with Portland QF guy (Mike Etringer) on customer visits, additional structures (gas and power), and monitoring regulatory status.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no">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rPr/>
    </w:lvl>
  </w:abstractNum>
  <w:abstractNum w:abstractNumId="2">
    <w:lvl w:ilvl="0">
      <w:start w:val="1"/>
      <w:numFmt w:val="decimal"/>
      <w:lvlText w:val="%1)"/>
      <w:lvlJc w:val="start"/>
      <w:pPr>
        <w:tabs>
          <w:tab w:val="num" w:pos="720"/>
        </w:tabs>
        <w:ind w:start="720" w:hanging="360"/>
      </w:pPr>
      <w:rPr/>
    </w:lvl>
  </w:abstractNum>
  <w:abstractNum w:abstractNumId="3">
    <w:lvl w:ilvl="0">
      <w:start w:val="1"/>
      <w:numFmt w:val="decimal"/>
      <w:lvlText w:val="%1)"/>
      <w:lvlJc w:val="start"/>
      <w:pPr>
        <w:tabs>
          <w:tab w:val="num" w:pos="720"/>
        </w:tabs>
        <w:ind w:start="720" w:hanging="360"/>
      </w:pPr>
      <w:rPr>
        <w:sz w:val="24"/>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WW8Num2z0">
    <w:name w:val="WW8Num2z0"/>
    <w:qFormat/>
    <w:rPr/>
  </w:style>
  <w:style w:type="character" w:styleId="WW8Num3z0">
    <w:name w:val="WW8Num3z0"/>
    <w:qFormat/>
    <w:rPr>
      <w:sz w:val="24"/>
    </w:rPr>
  </w:style>
  <w:style w:type="character" w:styleId="DefaultParagraphFont">
    <w:name w:val="Default Paragraph Font"/>
    <w:qFormat/>
    <w:rPr/>
  </w:style>
  <w:style w:type="paragraph" w:styleId="Heading">
    <w:name w:val="Heading"/>
    <w:basedOn w:val="Normal"/>
    <w:next w:val="BodyText"/>
    <w:qFormat/>
    <w:pPr>
      <w:jc w:val="center"/>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tandard">
    <w:name w:val="standard"/>
    <w:basedOn w:val="Normal"/>
    <w:qFormat/>
    <w:pPr>
      <w:spacing w:lineRule="auto" w:line="360"/>
      <w:ind w:firstLine="720" w:start="0" w:end="0"/>
    </w:pPr>
    <w:rPr>
      <w:rFonts w:ascii="Palatino" w:hAnsi="Palatino" w:cs="Palatino"/>
      <w:sz w:val="26"/>
      <w:szCs w:val="20"/>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2001-04-10T20:04:00Z</dcterms:created>
  <dc:creator>dfuller</dc:creator>
  <dc:description/>
  <dc:language>en-CA</dc:language>
  <cp:lastModifiedBy>dfuller</cp:lastModifiedBy>
  <cp:lastPrinted>2001-04-10T15:26:00Z</cp:lastPrinted>
  <dcterms:modified xsi:type="dcterms:W3CDTF">2001-04-10T20:04:00Z</dcterms:modified>
  <cp:revision>2</cp:revision>
  <dc:subject/>
  <dc:title>MEMORANDUM</dc:title>
</cp:coreProperties>
</file>