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QF Restructuring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spacing w:lineRule="auto" w:line="360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spacing w:lineRule="auto" w:line="360"/>
        <w:rPr/>
      </w:pPr>
      <w:r>
        <w:rPr/>
        <w:t>Two broad paths: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Agency Relationship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360"/>
        <w:ind w:hanging="360" w:start="720" w:end="0"/>
        <w:rPr/>
      </w:pPr>
      <w:r>
        <w:rPr/>
        <w:t>NewCo appoints ENA as exclusive agent to evaluate and restructure NewCo QF portfolio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360"/>
        <w:ind w:hanging="360" w:start="720" w:end="0"/>
        <w:rPr/>
      </w:pPr>
      <w:r>
        <w:rPr/>
        <w:t>ENA leads restructuring negotiations with support from NewCo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360"/>
        <w:ind w:hanging="360" w:start="720" w:end="0"/>
        <w:rPr/>
      </w:pPr>
      <w:r>
        <w:rPr/>
        <w:t>ENA and NewCo develop sharing ratio of upside from restructuring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360"/>
        <w:ind w:hanging="360" w:start="720" w:end="0"/>
        <w:rPr/>
      </w:pPr>
      <w:r>
        <w:rPr/>
        <w:t>NewCo avoids overhead and costs against uncertain restructuring gains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Targeted Restructuring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360"/>
        <w:ind w:hanging="360" w:start="720" w:end="0"/>
        <w:rPr/>
      </w:pPr>
      <w:r>
        <w:rPr/>
        <w:t>Opportunities exist to restructure projects within NewCo portfolio to maximize net income to NewCo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360"/>
        <w:ind w:hanging="360" w:start="720" w:end="0"/>
        <w:rPr/>
      </w:pPr>
      <w:r>
        <w:rPr/>
        <w:t>May not require restructuring PPA or unwinding projects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360"/>
        <w:ind w:hanging="360" w:start="720" w:end="0"/>
        <w:rPr/>
      </w:pPr>
      <w:r>
        <w:rPr/>
        <w:t>ENA and NewCo identify opportunities for each core QF type project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360"/>
        <w:ind w:hanging="360" w:start="720" w:end="0"/>
        <w:rPr/>
      </w:pPr>
      <w:r>
        <w:rPr/>
        <w:t>Transactions are structured on one-off basis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360"/>
        <w:ind w:hanging="360" w:start="720" w:end="0"/>
        <w:rPr/>
      </w:pPr>
      <w:r>
        <w:rPr/>
        <w:t>Fee arrangements negotiated individually for each project</w:t>
      </w:r>
    </w:p>
    <w:p>
      <w:pPr>
        <w:pStyle w:val="Normal"/>
        <w:spacing w:lineRule="auto" w:line="360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none"/>
      <w:suff w:val="nothing"/>
      <w:lvlText w:val="-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2000-06-29T21:43:00Z</dcterms:created>
  <dc:creator>clau</dc:creator>
  <dc:description/>
  <dc:language>en-CA</dc:language>
  <cp:lastModifiedBy>clau</cp:lastModifiedBy>
  <cp:lastPrinted>2000-06-29T19:12:00Z</cp:lastPrinted>
  <dcterms:modified xsi:type="dcterms:W3CDTF">2000-06-29T21:43:00Z</dcterms:modified>
  <cp:revision>2</cp:revision>
  <dc:subject/>
  <dc:title>QF Restructuring</dc:title>
</cp:coreProperties>
</file>