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QF Regulatory Risk Analysis</w:t>
      </w:r>
    </w:p>
    <w:p>
      <w:pPr>
        <w:pStyle w:val="Normal"/>
        <w:jc w:val="center"/>
        <w:rPr>
          <w:sz w:val="24"/>
        </w:rPr>
      </w:pPr>
      <w:r>
        <w:rPr>
          <w:sz w:val="24"/>
        </w:rPr>
      </w:r>
    </w:p>
    <w:p>
      <w:pPr>
        <w:pStyle w:val="Normal"/>
        <w:numPr>
          <w:ilvl w:val="0"/>
          <w:numId w:val="1"/>
        </w:numPr>
        <w:spacing w:lineRule="auto" w:line="480"/>
        <w:rPr>
          <w:sz w:val="24"/>
        </w:rPr>
      </w:pPr>
      <w:r>
        <w:rPr>
          <w:sz w:val="24"/>
        </w:rPr>
        <w:t>Contractual Issues.</w:t>
      </w:r>
    </w:p>
    <w:p>
      <w:pPr>
        <w:pStyle w:val="Normal"/>
        <w:numPr>
          <w:ilvl w:val="1"/>
          <w:numId w:val="1"/>
        </w:numPr>
        <w:spacing w:lineRule="auto" w:line="480"/>
        <w:rPr>
          <w:sz w:val="24"/>
        </w:rPr>
      </w:pPr>
      <w:r>
        <w:rPr>
          <w:sz w:val="24"/>
        </w:rPr>
        <w:t>Issues pertaining to the “sanctity” of the contract.</w:t>
      </w:r>
    </w:p>
    <w:p>
      <w:pPr>
        <w:pStyle w:val="Normal"/>
        <w:numPr>
          <w:ilvl w:val="2"/>
          <w:numId w:val="1"/>
        </w:numPr>
        <w:rPr>
          <w:sz w:val="24"/>
        </w:rPr>
      </w:pPr>
      <w:r>
        <w:rPr>
          <w:sz w:val="24"/>
        </w:rPr>
        <w:t>Is there a “regulatory out provision” in the contract?  In other words, can regulatory action be used to support a suspension of a party’s rights or obligations?</w:t>
      </w:r>
    </w:p>
    <w:p>
      <w:pPr>
        <w:pStyle w:val="Normal"/>
        <w:rPr>
          <w:sz w:val="24"/>
        </w:rPr>
      </w:pPr>
      <w:r>
        <w:rPr>
          <w:sz w:val="24"/>
        </w:rPr>
      </w:r>
    </w:p>
    <w:p>
      <w:pPr>
        <w:pStyle w:val="Normal"/>
        <w:numPr>
          <w:ilvl w:val="3"/>
          <w:numId w:val="1"/>
        </w:numPr>
        <w:spacing w:lineRule="auto" w:line="480"/>
        <w:rPr>
          <w:sz w:val="24"/>
        </w:rPr>
      </w:pPr>
      <w:r>
        <w:rPr>
          <w:sz w:val="24"/>
        </w:rPr>
        <w:t>Force majeure/Uncontrollable Force</w:t>
      </w:r>
    </w:p>
    <w:p>
      <w:pPr>
        <w:pStyle w:val="Normal"/>
        <w:numPr>
          <w:ilvl w:val="3"/>
          <w:numId w:val="1"/>
        </w:numPr>
        <w:spacing w:lineRule="auto" w:line="480"/>
        <w:rPr>
          <w:sz w:val="24"/>
        </w:rPr>
      </w:pPr>
      <w:r>
        <w:rPr>
          <w:sz w:val="24"/>
        </w:rPr>
        <w:t>Disallowance of ratepayer recovery</w:t>
      </w:r>
    </w:p>
    <w:p>
      <w:pPr>
        <w:pStyle w:val="Normal"/>
        <w:numPr>
          <w:ilvl w:val="2"/>
          <w:numId w:val="1"/>
        </w:numPr>
        <w:rPr>
          <w:sz w:val="24"/>
        </w:rPr>
      </w:pPr>
      <w:r>
        <w:rPr>
          <w:sz w:val="24"/>
        </w:rPr>
        <w:t>Are the payment provisions subject to regulatory review or adjustment?  Example:  California SO#4 contracts base energy payments on “SRAC” a formula that is subject to regulatory review and the application of which is subject to regulatory review.</w:t>
      </w:r>
    </w:p>
    <w:p>
      <w:pPr>
        <w:pStyle w:val="Normal"/>
        <w:rPr>
          <w:sz w:val="24"/>
        </w:rPr>
      </w:pPr>
      <w:r>
        <w:rPr>
          <w:sz w:val="24"/>
        </w:rPr>
      </w:r>
    </w:p>
    <w:p>
      <w:pPr>
        <w:pStyle w:val="Normal"/>
        <w:numPr>
          <w:ilvl w:val="2"/>
          <w:numId w:val="1"/>
        </w:numPr>
        <w:rPr>
          <w:sz w:val="24"/>
        </w:rPr>
      </w:pPr>
      <w:r>
        <w:rPr>
          <w:sz w:val="24"/>
        </w:rPr>
        <w:t>Are their performance provisions in the contract that create an opportunity for leverage by the utility or by the regulatory commission against the utility?  Example:   Prior of AB 1890, California utilities were subject to an annual reasonableness review in which the prudence of the utilities’ contract administration was at issue.  Utilities used the annual capacity demonstration test in the SO#4 contracts as an opportunity to apply leverage against QFs.  Failure to implement the tests caused the CPUC to scrutinize the prudence of a utility’s actions.</w:t>
      </w:r>
    </w:p>
    <w:p>
      <w:pPr>
        <w:pStyle w:val="Normal"/>
        <w:rPr>
          <w:sz w:val="24"/>
        </w:rPr>
      </w:pPr>
      <w:r>
        <w:rPr>
          <w:sz w:val="24"/>
        </w:rPr>
      </w:r>
    </w:p>
    <w:p>
      <w:pPr>
        <w:pStyle w:val="Normal"/>
        <w:numPr>
          <w:ilvl w:val="2"/>
          <w:numId w:val="1"/>
        </w:numPr>
        <w:spacing w:lineRule="auto" w:line="480"/>
        <w:rPr>
          <w:sz w:val="24"/>
        </w:rPr>
      </w:pPr>
      <w:r>
        <w:rPr>
          <w:sz w:val="24"/>
        </w:rPr>
        <w:t>Are there requirements that the QF retain its QF status?</w:t>
      </w:r>
    </w:p>
    <w:p>
      <w:pPr>
        <w:pStyle w:val="Normal"/>
        <w:numPr>
          <w:ilvl w:val="3"/>
          <w:numId w:val="1"/>
        </w:numPr>
        <w:spacing w:lineRule="auto" w:line="480"/>
        <w:rPr>
          <w:sz w:val="24"/>
        </w:rPr>
      </w:pPr>
      <w:r>
        <w:rPr>
          <w:sz w:val="24"/>
        </w:rPr>
        <w:t>What are the penalties if any for failure to maintain QF status?</w:t>
      </w:r>
    </w:p>
    <w:p>
      <w:pPr>
        <w:pStyle w:val="Normal"/>
        <w:numPr>
          <w:ilvl w:val="2"/>
          <w:numId w:val="1"/>
        </w:numPr>
        <w:rPr>
          <w:sz w:val="24"/>
        </w:rPr>
      </w:pPr>
      <w:r>
        <w:rPr>
          <w:sz w:val="24"/>
        </w:rPr>
        <w:t>Are there provisions in the contract subjecting the contract to regulatory commission jurisdiction?</w:t>
      </w:r>
    </w:p>
    <w:p>
      <w:pPr>
        <w:pStyle w:val="Normal"/>
        <w:rPr>
          <w:sz w:val="24"/>
        </w:rPr>
      </w:pPr>
      <w:r>
        <w:rPr>
          <w:sz w:val="24"/>
        </w:rPr>
      </w:r>
    </w:p>
    <w:p>
      <w:pPr>
        <w:pStyle w:val="Normal"/>
        <w:numPr>
          <w:ilvl w:val="2"/>
          <w:numId w:val="1"/>
        </w:numPr>
        <w:spacing w:lineRule="auto" w:line="480"/>
        <w:rPr>
          <w:sz w:val="24"/>
        </w:rPr>
      </w:pPr>
      <w:r>
        <w:rPr>
          <w:sz w:val="24"/>
        </w:rPr>
        <w:t>What is the term of the contract?</w:t>
      </w:r>
    </w:p>
    <w:p>
      <w:pPr>
        <w:pStyle w:val="Normal"/>
        <w:numPr>
          <w:ilvl w:val="1"/>
          <w:numId w:val="1"/>
        </w:numPr>
        <w:spacing w:lineRule="auto" w:line="480"/>
        <w:rPr>
          <w:sz w:val="24"/>
        </w:rPr>
      </w:pPr>
      <w:r>
        <w:rPr>
          <w:sz w:val="24"/>
        </w:rPr>
        <w:t>Issues pertaining to the reformation of the contract?</w:t>
      </w:r>
    </w:p>
    <w:p>
      <w:pPr>
        <w:pStyle w:val="Normal"/>
        <w:numPr>
          <w:ilvl w:val="2"/>
          <w:numId w:val="1"/>
        </w:numPr>
        <w:rPr>
          <w:sz w:val="24"/>
        </w:rPr>
      </w:pPr>
      <w:r>
        <w:rPr>
          <w:sz w:val="24"/>
        </w:rPr>
        <w:t>Are there provisions requiring commission approval of contract amendments?</w:t>
      </w:r>
    </w:p>
    <w:p>
      <w:pPr>
        <w:pStyle w:val="Normal"/>
        <w:ind w:start="720" w:end="0"/>
        <w:rPr>
          <w:sz w:val="24"/>
        </w:rPr>
      </w:pPr>
      <w:r>
        <w:rPr>
          <w:sz w:val="24"/>
        </w:rPr>
      </w:r>
    </w:p>
    <w:p>
      <w:pPr>
        <w:pStyle w:val="Normal"/>
        <w:numPr>
          <w:ilvl w:val="2"/>
          <w:numId w:val="1"/>
        </w:numPr>
        <w:rPr>
          <w:sz w:val="24"/>
        </w:rPr>
      </w:pPr>
      <w:r>
        <w:rPr>
          <w:sz w:val="24"/>
        </w:rPr>
        <w:t>Are there limitations on the amount of power that can be transferred over the interconnection?</w:t>
      </w:r>
    </w:p>
    <w:p>
      <w:pPr>
        <w:pStyle w:val="Normal"/>
        <w:rPr>
          <w:sz w:val="24"/>
        </w:rPr>
      </w:pPr>
      <w:r>
        <w:rPr>
          <w:sz w:val="24"/>
        </w:rPr>
      </w:r>
    </w:p>
    <w:p>
      <w:pPr>
        <w:pStyle w:val="Normal"/>
        <w:numPr>
          <w:ilvl w:val="2"/>
          <w:numId w:val="1"/>
        </w:numPr>
        <w:spacing w:lineRule="auto" w:line="480"/>
        <w:rPr>
          <w:sz w:val="24"/>
        </w:rPr>
      </w:pPr>
      <w:r>
        <w:rPr>
          <w:sz w:val="24"/>
        </w:rPr>
        <w:t>Are there provisions limiting the configuration of the facility?</w:t>
      </w:r>
    </w:p>
    <w:p>
      <w:pPr>
        <w:pStyle w:val="Normal"/>
        <w:numPr>
          <w:ilvl w:val="0"/>
          <w:numId w:val="1"/>
        </w:numPr>
        <w:spacing w:lineRule="auto" w:line="480"/>
        <w:rPr>
          <w:sz w:val="24"/>
        </w:rPr>
      </w:pPr>
      <w:r>
        <w:rPr>
          <w:sz w:val="24"/>
        </w:rPr>
        <w:t>Statutory Issues and Issues Raised by State Regulation.</w:t>
      </w:r>
    </w:p>
    <w:p>
      <w:pPr>
        <w:pStyle w:val="Normal"/>
        <w:numPr>
          <w:ilvl w:val="1"/>
          <w:numId w:val="1"/>
        </w:numPr>
        <w:spacing w:lineRule="auto" w:line="480"/>
        <w:rPr>
          <w:sz w:val="24"/>
        </w:rPr>
      </w:pPr>
      <w:r>
        <w:rPr>
          <w:sz w:val="24"/>
        </w:rPr>
        <w:t>Is there a restructuring statute?</w:t>
      </w:r>
    </w:p>
    <w:p>
      <w:pPr>
        <w:pStyle w:val="Normal"/>
        <w:numPr>
          <w:ilvl w:val="2"/>
          <w:numId w:val="1"/>
        </w:numPr>
        <w:spacing w:lineRule="auto" w:line="480"/>
        <w:rPr>
          <w:sz w:val="24"/>
        </w:rPr>
      </w:pPr>
      <w:r>
        <w:rPr>
          <w:sz w:val="24"/>
        </w:rPr>
        <w:t>Does it maintain the sanctity of QF contracts—express or implied?</w:t>
      </w:r>
    </w:p>
    <w:p>
      <w:pPr>
        <w:pStyle w:val="Normal"/>
        <w:numPr>
          <w:ilvl w:val="2"/>
          <w:numId w:val="1"/>
        </w:numPr>
        <w:rPr>
          <w:sz w:val="24"/>
        </w:rPr>
      </w:pPr>
      <w:r>
        <w:rPr>
          <w:sz w:val="24"/>
        </w:rPr>
        <w:t>Does the statute provide for the recovery, dollar-for-dollar, of a utility’s payments to QFs?  Example, are QF contracts treated as “regulatory assets” and given absolute recovery?</w:t>
      </w:r>
    </w:p>
    <w:p>
      <w:pPr>
        <w:pStyle w:val="Normal"/>
        <w:rPr>
          <w:sz w:val="24"/>
        </w:rPr>
      </w:pPr>
      <w:r>
        <w:rPr>
          <w:sz w:val="24"/>
        </w:rPr>
      </w:r>
    </w:p>
    <w:p>
      <w:pPr>
        <w:pStyle w:val="Normal"/>
        <w:numPr>
          <w:ilvl w:val="2"/>
          <w:numId w:val="1"/>
        </w:numPr>
        <w:spacing w:lineRule="auto" w:line="480"/>
        <w:rPr>
          <w:sz w:val="24"/>
        </w:rPr>
      </w:pPr>
      <w:r>
        <w:rPr>
          <w:sz w:val="24"/>
        </w:rPr>
        <w:t xml:space="preserve">Is there a mitigation obligation?  </w:t>
      </w:r>
    </w:p>
    <w:p>
      <w:pPr>
        <w:pStyle w:val="Normal"/>
        <w:numPr>
          <w:ilvl w:val="3"/>
          <w:numId w:val="1"/>
        </w:numPr>
        <w:spacing w:lineRule="auto" w:line="480"/>
        <w:rPr>
          <w:sz w:val="24"/>
        </w:rPr>
      </w:pPr>
      <w:r>
        <w:rPr>
          <w:sz w:val="24"/>
        </w:rPr>
        <w:t>How is the obligation defined—is it absolute?</w:t>
      </w:r>
    </w:p>
    <w:p>
      <w:pPr>
        <w:pStyle w:val="Normal"/>
        <w:numPr>
          <w:ilvl w:val="1"/>
          <w:numId w:val="1"/>
        </w:numPr>
        <w:rPr>
          <w:sz w:val="24"/>
        </w:rPr>
      </w:pPr>
      <w:r>
        <w:rPr>
          <w:sz w:val="24"/>
        </w:rPr>
        <w:t>Are there any statutory provisions that increase the relative value of the QF contracts?  Example:  Nevada has a renewable portfolio requirement that may given added value to existing geothermal projects.</w:t>
      </w:r>
    </w:p>
    <w:p>
      <w:pPr>
        <w:pStyle w:val="Normal"/>
        <w:ind w:start="360" w:end="0"/>
        <w:rPr>
          <w:sz w:val="24"/>
        </w:rPr>
      </w:pPr>
      <w:r>
        <w:rPr>
          <w:sz w:val="24"/>
        </w:rPr>
      </w:r>
    </w:p>
    <w:p>
      <w:pPr>
        <w:pStyle w:val="Normal"/>
        <w:numPr>
          <w:ilvl w:val="1"/>
          <w:numId w:val="1"/>
        </w:numPr>
        <w:spacing w:lineRule="auto" w:line="480"/>
        <w:rPr>
          <w:sz w:val="24"/>
        </w:rPr>
      </w:pPr>
      <w:r>
        <w:rPr>
          <w:sz w:val="24"/>
        </w:rPr>
        <w:t xml:space="preserve">When does the market open?  </w:t>
      </w:r>
    </w:p>
    <w:p>
      <w:pPr>
        <w:pStyle w:val="Normal"/>
        <w:numPr>
          <w:ilvl w:val="2"/>
          <w:numId w:val="1"/>
        </w:numPr>
        <w:rPr>
          <w:sz w:val="24"/>
        </w:rPr>
      </w:pPr>
      <w:r>
        <w:rPr>
          <w:sz w:val="24"/>
        </w:rPr>
        <w:t>Are there implementation issues that make reformation of a contract unlikely due to the workload imposed on staff or the utilities?</w:t>
      </w:r>
    </w:p>
    <w:p>
      <w:pPr>
        <w:pStyle w:val="Normal"/>
        <w:ind w:start="720" w:end="0"/>
        <w:rPr>
          <w:sz w:val="24"/>
        </w:rPr>
      </w:pPr>
      <w:r>
        <w:rPr>
          <w:sz w:val="24"/>
        </w:rPr>
      </w:r>
    </w:p>
    <w:p>
      <w:pPr>
        <w:pStyle w:val="Normal"/>
        <w:numPr>
          <w:ilvl w:val="1"/>
          <w:numId w:val="1"/>
        </w:numPr>
        <w:spacing w:lineRule="auto" w:line="480"/>
        <w:rPr>
          <w:sz w:val="24"/>
        </w:rPr>
      </w:pPr>
      <w:r>
        <w:rPr>
          <w:sz w:val="24"/>
        </w:rPr>
        <w:t>Are there provisions that allow the “securitization” of stranded costs?</w:t>
      </w:r>
    </w:p>
    <w:p>
      <w:pPr>
        <w:pStyle w:val="Normal"/>
        <w:numPr>
          <w:ilvl w:val="1"/>
          <w:numId w:val="1"/>
        </w:numPr>
        <w:rPr>
          <w:sz w:val="24"/>
        </w:rPr>
      </w:pPr>
      <w:r>
        <w:rPr>
          <w:sz w:val="24"/>
        </w:rPr>
        <w:t>Is there a formal incentive to reform contracts?  Example:  California provides the utilities with an express incentive to renegotiate QF obligations.</w:t>
      </w:r>
    </w:p>
    <w:p>
      <w:pPr>
        <w:pStyle w:val="Normal"/>
        <w:rPr>
          <w:sz w:val="24"/>
        </w:rPr>
      </w:pPr>
      <w:r>
        <w:rPr>
          <w:sz w:val="24"/>
        </w:rPr>
      </w:r>
    </w:p>
    <w:p>
      <w:pPr>
        <w:pStyle w:val="Normal"/>
        <w:numPr>
          <w:ilvl w:val="1"/>
          <w:numId w:val="1"/>
        </w:numPr>
        <w:rPr>
          <w:sz w:val="24"/>
        </w:rPr>
      </w:pPr>
      <w:r>
        <w:rPr>
          <w:sz w:val="24"/>
        </w:rPr>
        <w:t>Will the stranded cost determination undermine efforts to value a buy out?  Illustration:  Stakeholders may argue for a commission determination of future market prices that would reduce the overmarket portion of the QF contract, thereby reducing the amount of dollars “in play” in a buyout.</w:t>
      </w:r>
    </w:p>
    <w:p>
      <w:pPr>
        <w:pStyle w:val="Normal"/>
        <w:rPr>
          <w:sz w:val="24"/>
        </w:rPr>
      </w:pPr>
      <w:r>
        <w:rPr>
          <w:sz w:val="24"/>
        </w:rPr>
      </w:r>
    </w:p>
    <w:p>
      <w:pPr>
        <w:pStyle w:val="Normal"/>
        <w:numPr>
          <w:ilvl w:val="1"/>
          <w:numId w:val="1"/>
        </w:numPr>
        <w:spacing w:lineRule="auto" w:line="480"/>
        <w:rPr>
          <w:sz w:val="24"/>
        </w:rPr>
      </w:pPr>
      <w:r>
        <w:rPr>
          <w:sz w:val="24"/>
        </w:rPr>
        <w:t>Does the statue eliminate the utility’s obligation to serve?</w:t>
      </w:r>
    </w:p>
    <w:p>
      <w:pPr>
        <w:pStyle w:val="Normal"/>
        <w:numPr>
          <w:ilvl w:val="2"/>
          <w:numId w:val="1"/>
        </w:numPr>
        <w:spacing w:lineRule="auto" w:line="480"/>
        <w:rPr>
          <w:sz w:val="24"/>
        </w:rPr>
      </w:pPr>
      <w:r>
        <w:rPr>
          <w:sz w:val="24"/>
        </w:rPr>
        <w:t>How will QF power be allocated among or between customers?</w:t>
      </w:r>
    </w:p>
    <w:p>
      <w:pPr>
        <w:pStyle w:val="Normal"/>
        <w:numPr>
          <w:ilvl w:val="2"/>
          <w:numId w:val="1"/>
        </w:numPr>
        <w:spacing w:lineRule="auto" w:line="480"/>
        <w:rPr>
          <w:sz w:val="24"/>
        </w:rPr>
      </w:pPr>
      <w:r>
        <w:rPr>
          <w:sz w:val="24"/>
        </w:rPr>
        <w:t>Will the utility have a “regulatory out” under the contract?</w:t>
      </w:r>
    </w:p>
    <w:p>
      <w:pPr>
        <w:pStyle w:val="Normal"/>
        <w:numPr>
          <w:ilvl w:val="0"/>
          <w:numId w:val="1"/>
        </w:numPr>
        <w:spacing w:lineRule="auto" w:line="480"/>
        <w:rPr>
          <w:sz w:val="24"/>
        </w:rPr>
      </w:pPr>
      <w:r>
        <w:rPr>
          <w:sz w:val="24"/>
        </w:rPr>
        <w:t>Economic Isues</w:t>
      </w:r>
    </w:p>
    <w:p>
      <w:pPr>
        <w:pStyle w:val="Normal"/>
        <w:numPr>
          <w:ilvl w:val="1"/>
          <w:numId w:val="1"/>
        </w:numPr>
        <w:spacing w:lineRule="auto" w:line="480"/>
        <w:rPr>
          <w:sz w:val="24"/>
        </w:rPr>
      </w:pPr>
      <w:r>
        <w:rPr>
          <w:sz w:val="24"/>
        </w:rPr>
        <w:t>What is the long-term prognosis for the contract?</w:t>
      </w:r>
    </w:p>
    <w:p>
      <w:pPr>
        <w:pStyle w:val="Normal"/>
        <w:numPr>
          <w:ilvl w:val="2"/>
          <w:numId w:val="1"/>
        </w:numPr>
        <w:rPr>
          <w:sz w:val="24"/>
        </w:rPr>
      </w:pPr>
      <w:r>
        <w:rPr>
          <w:sz w:val="24"/>
        </w:rPr>
        <w:t xml:space="preserve">Where does the contract fit in terms of total cost among the utility’s stranded costs?  Among the utility’s QF contracts?  </w:t>
      </w:r>
    </w:p>
    <w:p>
      <w:pPr>
        <w:pStyle w:val="Normal"/>
        <w:ind w:start="720" w:end="0"/>
        <w:rPr>
          <w:sz w:val="24"/>
        </w:rPr>
      </w:pPr>
      <w:r>
        <w:rPr>
          <w:sz w:val="24"/>
        </w:rPr>
      </w:r>
    </w:p>
    <w:p>
      <w:pPr>
        <w:pStyle w:val="Normal"/>
        <w:numPr>
          <w:ilvl w:val="2"/>
          <w:numId w:val="1"/>
        </w:numPr>
        <w:rPr>
          <w:sz w:val="24"/>
        </w:rPr>
      </w:pPr>
      <w:r>
        <w:rPr>
          <w:sz w:val="24"/>
        </w:rPr>
        <w:t>Is it the utility’s largest QF contract?  Highest cost contract?  Only stranded cost?</w:t>
      </w:r>
    </w:p>
    <w:p>
      <w:pPr>
        <w:pStyle w:val="Normal"/>
        <w:rPr>
          <w:sz w:val="24"/>
        </w:rPr>
      </w:pPr>
      <w:r>
        <w:rPr>
          <w:sz w:val="24"/>
        </w:rPr>
      </w:r>
    </w:p>
    <w:p>
      <w:pPr>
        <w:pStyle w:val="Normal"/>
        <w:numPr>
          <w:ilvl w:val="1"/>
          <w:numId w:val="1"/>
        </w:numPr>
        <w:rPr>
          <w:sz w:val="24"/>
        </w:rPr>
      </w:pPr>
      <w:r>
        <w:rPr>
          <w:sz w:val="24"/>
        </w:rPr>
        <w:t xml:space="preserve">Does the stranded cost treatment provided for QF contracts create an incentive to reform the contract?  </w:t>
      </w:r>
    </w:p>
    <w:p>
      <w:pPr>
        <w:pStyle w:val="Normal"/>
        <w:rPr>
          <w:sz w:val="24"/>
        </w:rPr>
      </w:pPr>
      <w:r>
        <w:rPr>
          <w:sz w:val="24"/>
        </w:rPr>
      </w:r>
    </w:p>
    <w:p>
      <w:pPr>
        <w:pStyle w:val="Normal"/>
        <w:numPr>
          <w:ilvl w:val="2"/>
          <w:numId w:val="1"/>
        </w:numPr>
        <w:rPr>
          <w:sz w:val="24"/>
        </w:rPr>
      </w:pPr>
      <w:r>
        <w:rPr>
          <w:sz w:val="24"/>
        </w:rPr>
        <w:t>Lump sum determinations of stranded costs can create an incentive to reform a contract.  Lump sum determinations can also create an incentive to break the contract or force the QF into litigation.</w:t>
      </w:r>
    </w:p>
    <w:p>
      <w:pPr>
        <w:pStyle w:val="Normal"/>
        <w:rPr>
          <w:sz w:val="24"/>
        </w:rPr>
      </w:pPr>
      <w:r>
        <w:rPr>
          <w:sz w:val="24"/>
        </w:rPr>
      </w:r>
    </w:p>
    <w:p>
      <w:pPr>
        <w:pStyle w:val="Normal"/>
        <w:numPr>
          <w:ilvl w:val="0"/>
          <w:numId w:val="1"/>
        </w:numPr>
        <w:spacing w:lineRule="auto" w:line="480"/>
        <w:rPr>
          <w:sz w:val="24"/>
        </w:rPr>
      </w:pPr>
      <w:r>
        <w:rPr>
          <w:sz w:val="24"/>
        </w:rPr>
        <w:t>Other Regulatory Issues.</w:t>
      </w:r>
    </w:p>
    <w:p>
      <w:pPr>
        <w:pStyle w:val="Normal"/>
        <w:numPr>
          <w:ilvl w:val="1"/>
          <w:numId w:val="1"/>
        </w:numPr>
        <w:rPr>
          <w:sz w:val="24"/>
        </w:rPr>
      </w:pPr>
      <w:r>
        <w:rPr>
          <w:sz w:val="24"/>
        </w:rPr>
        <w:t>What regulations will apply to the resource created by a buy out or reformation of the contract?</w:t>
      </w:r>
    </w:p>
    <w:p>
      <w:pPr>
        <w:pStyle w:val="Normal"/>
        <w:rPr>
          <w:sz w:val="24"/>
        </w:rPr>
      </w:pPr>
      <w:r>
        <w:rPr>
          <w:sz w:val="24"/>
        </w:rPr>
      </w:r>
    </w:p>
    <w:p>
      <w:pPr>
        <w:pStyle w:val="Normal"/>
        <w:numPr>
          <w:ilvl w:val="2"/>
          <w:numId w:val="1"/>
        </w:numPr>
        <w:spacing w:lineRule="auto" w:line="480"/>
        <w:rPr>
          <w:sz w:val="24"/>
        </w:rPr>
      </w:pPr>
      <w:r>
        <w:rPr>
          <w:sz w:val="24"/>
        </w:rPr>
        <w:t>Does the entity lose any key regulatory protections it if loses QF status?</w:t>
      </w:r>
    </w:p>
    <w:p>
      <w:pPr>
        <w:pStyle w:val="Normal"/>
        <w:numPr>
          <w:ilvl w:val="2"/>
          <w:numId w:val="1"/>
        </w:numPr>
        <w:spacing w:lineRule="auto" w:line="480"/>
        <w:rPr>
          <w:sz w:val="24"/>
        </w:rPr>
      </w:pPr>
      <w:r>
        <w:rPr>
          <w:sz w:val="24"/>
        </w:rPr>
        <w:t>Can the entity become an EWG?</w:t>
      </w:r>
    </w:p>
    <w:p>
      <w:pPr>
        <w:pStyle w:val="Normal"/>
        <w:numPr>
          <w:ilvl w:val="2"/>
          <w:numId w:val="1"/>
        </w:numPr>
        <w:rPr>
          <w:sz w:val="24"/>
        </w:rPr>
      </w:pPr>
      <w:r>
        <w:rPr>
          <w:sz w:val="24"/>
        </w:rPr>
        <w:t>Will it become a retail provider regulated under a retail restructuring scheme?</w:t>
      </w:r>
    </w:p>
    <w:p>
      <w:pPr>
        <w:pStyle w:val="Normal"/>
        <w:rPr>
          <w:sz w:val="24"/>
        </w:rPr>
      </w:pPr>
      <w:r>
        <w:rPr>
          <w:sz w:val="24"/>
        </w:rPr>
      </w:r>
    </w:p>
    <w:p>
      <w:pPr>
        <w:pStyle w:val="Normal"/>
        <w:numPr>
          <w:ilvl w:val="2"/>
          <w:numId w:val="1"/>
        </w:numPr>
        <w:rPr>
          <w:sz w:val="24"/>
        </w:rPr>
      </w:pPr>
      <w:r>
        <w:rPr>
          <w:sz w:val="24"/>
        </w:rPr>
        <w:t>What are the implications of losing the thermal host or changing the source of thermal energy supplied to the host?</w:t>
      </w:r>
    </w:p>
    <w:p>
      <w:pPr>
        <w:pStyle w:val="Normal"/>
        <w:rPr>
          <w:sz w:val="24"/>
        </w:rPr>
      </w:pPr>
      <w:r>
        <w:rPr>
          <w:sz w:val="24"/>
        </w:rPr>
      </w:r>
    </w:p>
    <w:p>
      <w:pPr>
        <w:pStyle w:val="Normal"/>
        <w:numPr>
          <w:ilvl w:val="1"/>
          <w:numId w:val="1"/>
        </w:numPr>
        <w:spacing w:lineRule="auto" w:line="480"/>
        <w:rPr>
          <w:sz w:val="24"/>
        </w:rPr>
      </w:pPr>
      <w:r>
        <w:rPr>
          <w:sz w:val="24"/>
        </w:rPr>
        <w:t>Is there a CIAC problem created if the resource loses QF status?</w:t>
      </w:r>
    </w:p>
    <w:p>
      <w:pPr>
        <w:pStyle w:val="Normal"/>
        <w:numPr>
          <w:ilvl w:val="1"/>
          <w:numId w:val="1"/>
        </w:numPr>
        <w:spacing w:lineRule="auto" w:line="480"/>
        <w:rPr>
          <w:sz w:val="24"/>
        </w:rPr>
      </w:pPr>
      <w:r>
        <w:rPr>
          <w:sz w:val="24"/>
        </w:rPr>
        <w:t>What is the timing for approval of a contract reformation or buy out?</w:t>
      </w:r>
    </w:p>
    <w:p>
      <w:pPr>
        <w:pStyle w:val="Normal"/>
        <w:numPr>
          <w:ilvl w:val="2"/>
          <w:numId w:val="1"/>
        </w:numPr>
        <w:spacing w:lineRule="auto" w:line="480"/>
        <w:rPr>
          <w:sz w:val="24"/>
        </w:rPr>
      </w:pPr>
      <w:r>
        <w:rPr>
          <w:sz w:val="24"/>
        </w:rPr>
        <w:t>Is pre-approval necessary or available?</w:t>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2000-02-01T02:32:00Z</dcterms:created>
  <dc:creator>pkaufma</dc:creator>
  <dc:description/>
  <dc:language>en-CA</dc:language>
  <cp:lastModifiedBy>Paul Kaufman</cp:lastModifiedBy>
  <cp:lastPrinted>2000-01-31T21:02:00Z</cp:lastPrinted>
  <dcterms:modified xsi:type="dcterms:W3CDTF">2000-02-01T02:32:00Z</dcterms:modified>
  <cp:revision>2</cp:revision>
  <dc:subject/>
  <dc:title>QF Regulatory Risk Analysis</dc:title>
</cp:coreProperties>
</file>