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Memorandum</w:t>
      </w:r>
    </w:p>
    <w:p>
      <w:pPr>
        <w:pStyle w:val="Normal"/>
        <w:rPr/>
      </w:pPr>
      <w:r>
        <w:rPr/>
      </w:r>
    </w:p>
    <w:p>
      <w:pPr>
        <w:pStyle w:val="Normal"/>
        <w:rPr/>
      </w:pPr>
      <w:r>
        <w:rPr/>
        <w:t>To:</w:t>
        <w:tab/>
        <w:tab/>
        <w:t>Mike Etringer</w:t>
      </w:r>
    </w:p>
    <w:p>
      <w:pPr>
        <w:pStyle w:val="Normal"/>
        <w:rPr/>
      </w:pPr>
      <w:r>
        <w:rPr/>
      </w:r>
    </w:p>
    <w:p>
      <w:pPr>
        <w:pStyle w:val="Normal"/>
        <w:rPr/>
      </w:pPr>
      <w:r>
        <w:rPr/>
        <w:t>From:</w:t>
        <w:tab/>
        <w:tab/>
        <w:t>Jeff Dasovich</w:t>
      </w:r>
    </w:p>
    <w:p>
      <w:pPr>
        <w:pStyle w:val="Normal"/>
        <w:rPr/>
      </w:pPr>
      <w:r>
        <w:rPr/>
      </w:r>
    </w:p>
    <w:p>
      <w:pPr>
        <w:pStyle w:val="Normal"/>
        <w:rPr/>
      </w:pPr>
      <w:r>
        <w:rPr/>
        <w:t>Date:</w:t>
        <w:tab/>
        <w:tab/>
        <w:t>September 15, 2000</w:t>
      </w:r>
    </w:p>
    <w:p>
      <w:pPr>
        <w:pStyle w:val="Normal"/>
        <w:rPr/>
      </w:pPr>
      <w:r>
        <w:rPr/>
      </w:r>
    </w:p>
    <w:p>
      <w:pPr>
        <w:pStyle w:val="Normal"/>
        <w:pBdr>
          <w:bottom w:val="single" w:sz="4" w:space="1" w:color="000000"/>
        </w:pBdr>
        <w:rPr/>
      </w:pPr>
      <w:r>
        <w:rPr/>
        <w:t>Re:</w:t>
        <w:tab/>
        <w:tab/>
        <w:t>California’s Efforts to Transition from SRAC to PX Pricing for QFs</w:t>
      </w:r>
    </w:p>
    <w:p>
      <w:pPr>
        <w:pStyle w:val="Normal"/>
        <w:rPr/>
      </w:pPr>
      <w:r>
        <w:rPr/>
      </w:r>
    </w:p>
    <w:p>
      <w:pPr>
        <w:pStyle w:val="Normal"/>
        <w:ind w:firstLine="720" w:end="0"/>
        <w:rPr/>
      </w:pPr>
      <w:r>
        <w:rPr/>
        <w:t>You requested an assessment of the likelihood that the Commission would move QFs in California from SRAC to PX-based pricing as called for in AB 1890.  This memo describes a proposed decision recently released by the judge presiding over the issue at the PUC and the considerable regulatory uncertainty surrounding the switch to PX-based pricing.</w:t>
      </w:r>
    </w:p>
    <w:p>
      <w:pPr>
        <w:pStyle w:val="Normal"/>
        <w:ind w:firstLine="720" w:end="0"/>
        <w:rPr/>
      </w:pPr>
      <w:r>
        <w:rPr/>
      </w:r>
    </w:p>
    <w:p>
      <w:pPr>
        <w:pStyle w:val="Normal"/>
        <w:ind w:firstLine="720" w:end="0"/>
        <w:rPr/>
      </w:pPr>
      <w:r>
        <w:rPr/>
        <w:t>Past analyses have focused on the incentives utilities and QFs face to restructure QF contracts.  If you would like to discuss the effects that recent events in electricity markets have had on those incentives, let me know.</w:t>
      </w:r>
    </w:p>
    <w:p>
      <w:pPr>
        <w:pStyle w:val="Normal"/>
        <w:rPr/>
      </w:pPr>
      <w:r>
        <w:rPr/>
      </w:r>
    </w:p>
    <w:p>
      <w:pPr>
        <w:pStyle w:val="Heading2"/>
        <w:ind w:hanging="0" w:start="0"/>
        <w:rPr>
          <w:b w:val="false"/>
          <w:bCs w:val="false"/>
          <w:i/>
          <w:i/>
          <w:iCs/>
          <w:u w:val="none"/>
        </w:rPr>
      </w:pPr>
      <w:r>
        <w:rPr>
          <w:i/>
          <w:iCs/>
          <w:u w:val="none"/>
        </w:rPr>
        <w:t>Summary</w:t>
      </w:r>
    </w:p>
    <w:p>
      <w:pPr>
        <w:pStyle w:val="Normal"/>
        <w:ind w:firstLine="720" w:end="0"/>
        <w:rPr/>
      </w:pPr>
      <w:r>
        <w:rPr/>
        <w:t xml:space="preserve">There is significant uncertainty regarding the shift from SRAC to PX-based pricing for QF contracts in California.  </w:t>
      </w:r>
    </w:p>
    <w:p>
      <w:pPr>
        <w:pStyle w:val="Normal"/>
        <w:ind w:firstLine="720" w:end="0"/>
        <w:rPr/>
      </w:pPr>
      <w:r>
        <w:rPr/>
      </w:r>
    </w:p>
    <w:p>
      <w:pPr>
        <w:pStyle w:val="BodyTextIndent"/>
        <w:rPr/>
      </w:pPr>
      <w:r>
        <w:rPr/>
        <w:t>On September 5</w:t>
      </w:r>
      <w:r>
        <w:rPr>
          <w:vertAlign w:val="superscript"/>
        </w:rPr>
        <w:t>th</w:t>
      </w:r>
      <w:r>
        <w:rPr/>
        <w:t>, the judge presiding over the California Commission’s proceeding on the issue released a decision proposing a methodology for PX-based pricing. The Commission can either adopt wholesale or in part the judge’s decision, or the Commission can reject the decision altogether in favor of its own decision (provided that any changes made are consistent with the factual record the judge developed in the case).  The likelihood that the Commission will adopt the PX-based pricing structure proposed in the judge’s decision is slightly better than 50-50.</w:t>
      </w:r>
    </w:p>
    <w:p>
      <w:pPr>
        <w:pStyle w:val="Normal"/>
        <w:ind w:firstLine="720" w:end="0"/>
        <w:rPr/>
      </w:pPr>
      <w:r>
        <w:rPr/>
      </w:r>
    </w:p>
    <w:p>
      <w:pPr>
        <w:pStyle w:val="Normal"/>
        <w:ind w:firstLine="720" w:end="0"/>
        <w:rPr/>
      </w:pPr>
      <w:r>
        <w:rPr/>
        <w:t>Equally uncertain is the date by which the Commission will require QFs to make the switch from SRAC to PX-based pricing.  The likelihood that the switch will occur over the next 12 months is less than 25%.  The likelihood that the switch occurs over the next 24 months is less than 50%.  And the likelihood that it happens over the next 36 months is marginally greater than 50%.</w:t>
      </w:r>
    </w:p>
    <w:p>
      <w:pPr>
        <w:pStyle w:val="Normal"/>
        <w:rPr/>
      </w:pPr>
      <w:r>
        <w:rPr/>
      </w:r>
    </w:p>
    <w:p>
      <w:pPr>
        <w:pStyle w:val="standard"/>
        <w:spacing w:lineRule="auto" w:line="240"/>
        <w:ind w:hanging="0" w:end="0"/>
        <w:rPr>
          <w:rFonts w:ascii="Times New Roman" w:hAnsi="Times New Roman" w:cs="Times New Roman"/>
          <w:b/>
          <w:bCs/>
          <w:i/>
          <w:i/>
          <w:iCs/>
          <w:sz w:val="24"/>
        </w:rPr>
      </w:pPr>
      <w:r>
        <w:rPr>
          <w:rFonts w:cs="Times New Roman" w:ascii="Times New Roman" w:hAnsi="Times New Roman"/>
          <w:b/>
          <w:bCs/>
          <w:i/>
          <w:iCs/>
          <w:sz w:val="24"/>
        </w:rPr>
        <w:t>Background</w:t>
      </w:r>
    </w:p>
    <w:p>
      <w:pPr>
        <w:pStyle w:val="standard"/>
        <w:spacing w:lineRule="auto" w:line="240"/>
        <w:rPr>
          <w:rFonts w:ascii="Times New Roman" w:hAnsi="Times New Roman" w:cs="Times New Roman"/>
          <w:sz w:val="24"/>
        </w:rPr>
      </w:pPr>
      <w:r>
        <w:rPr>
          <w:rFonts w:cs="Times New Roman" w:ascii="Times New Roman" w:hAnsi="Times New Roman"/>
          <w:sz w:val="24"/>
        </w:rPr>
        <w:t>AB 1890 requires the California PUC to replace SRAC-based pricing with PX-based pricing when certain conditions are met.  Those conditions have been met and a proceeding is underway at the California Commission to make the transition.  The Commission split the proceeding into two phases.  The first phase is designed to determine the structure of PX-based prices.  The second phase is designed to determine what criteria must be met prior to making the switch to PX-based prices.  Requiring QFs to switch to PX-based pricing will not occur until the Commission has completed both phases.  However, AB 1890 also gave QFs a one-time option to shift to PX-based pricing.  The Commission’s phase one decision would set the methodology used to determine PX-based prices paid to QFs that have exercised the option.</w:t>
      </w:r>
    </w:p>
    <w:p>
      <w:pPr>
        <w:pStyle w:val="standard"/>
        <w:spacing w:lineRule="auto" w:line="240"/>
        <w:rPr>
          <w:rFonts w:ascii="Times New Roman" w:hAnsi="Times New Roman" w:cs="Times New Roman"/>
          <w:sz w:val="24"/>
        </w:rPr>
      </w:pPr>
      <w:r>
        <w:rPr>
          <w:rFonts w:cs="Times New Roman" w:ascii="Times New Roman" w:hAnsi="Times New Roman"/>
          <w:sz w:val="24"/>
        </w:rPr>
      </w:r>
    </w:p>
    <w:p>
      <w:pPr>
        <w:pStyle w:val="standard"/>
        <w:spacing w:lineRule="auto" w:line="240"/>
        <w:rPr>
          <w:rFonts w:ascii="Times New Roman" w:hAnsi="Times New Roman" w:cs="Times New Roman"/>
          <w:sz w:val="24"/>
        </w:rPr>
      </w:pPr>
      <w:r>
        <w:rPr>
          <w:rFonts w:cs="Times New Roman" w:ascii="Times New Roman" w:hAnsi="Times New Roman"/>
          <w:sz w:val="24"/>
        </w:rPr>
        <w:t xml:space="preserve">In addition to implementing AB 1890, the Commission’s proceeding has the following additional goals: </w:t>
      </w:r>
    </w:p>
    <w:p>
      <w:pPr>
        <w:pStyle w:val="standard"/>
        <w:numPr>
          <w:ilvl w:val="0"/>
          <w:numId w:val="2"/>
        </w:numPr>
        <w:spacing w:lineRule="auto" w:line="240" w:before="120" w:after="120"/>
        <w:rPr>
          <w:rFonts w:ascii="Times New Roman" w:hAnsi="Times New Roman" w:cs="Times New Roman"/>
          <w:sz w:val="24"/>
        </w:rPr>
      </w:pPr>
      <w:r>
        <w:rPr>
          <w:rFonts w:cs="Times New Roman" w:ascii="Times New Roman" w:hAnsi="Times New Roman"/>
          <w:sz w:val="24"/>
        </w:rPr>
        <w:t xml:space="preserve">review potential modifications to the pricing methodology for as-available capacity payments; </w:t>
      </w:r>
    </w:p>
    <w:p>
      <w:pPr>
        <w:pStyle w:val="standard"/>
        <w:numPr>
          <w:ilvl w:val="0"/>
          <w:numId w:val="2"/>
        </w:numPr>
        <w:spacing w:lineRule="auto" w:line="240" w:before="120" w:after="120"/>
        <w:rPr>
          <w:rFonts w:ascii="Times New Roman" w:hAnsi="Times New Roman" w:cs="Times New Roman"/>
          <w:sz w:val="24"/>
        </w:rPr>
      </w:pPr>
      <w:r>
        <w:rPr>
          <w:rFonts w:cs="Times New Roman" w:ascii="Times New Roman" w:hAnsi="Times New Roman"/>
          <w:sz w:val="24"/>
        </w:rPr>
        <w:t>determine whether or not current methodologies for adjusting line losses need to be replaced, and if so, by what methodology;</w:t>
      </w:r>
    </w:p>
    <w:p>
      <w:pPr>
        <w:pStyle w:val="standard"/>
        <w:numPr>
          <w:ilvl w:val="0"/>
          <w:numId w:val="2"/>
        </w:numPr>
        <w:spacing w:lineRule="auto" w:line="240" w:before="120" w:after="120"/>
        <w:rPr>
          <w:rFonts w:ascii="Times New Roman" w:hAnsi="Times New Roman" w:cs="Times New Roman"/>
          <w:sz w:val="24"/>
        </w:rPr>
      </w:pPr>
      <w:r>
        <w:rPr>
          <w:rFonts w:cs="Times New Roman" w:ascii="Times New Roman" w:hAnsi="Times New Roman"/>
          <w:sz w:val="24"/>
        </w:rPr>
        <w:t xml:space="preserve">develope criteria for determining whether the market is functioning properly;  </w:t>
      </w:r>
    </w:p>
    <w:p>
      <w:pPr>
        <w:pStyle w:val="standard"/>
        <w:numPr>
          <w:ilvl w:val="0"/>
          <w:numId w:val="2"/>
        </w:numPr>
        <w:spacing w:lineRule="auto" w:line="240" w:before="120" w:after="120"/>
        <w:rPr>
          <w:rFonts w:ascii="Times New Roman" w:hAnsi="Times New Roman" w:cs="Times New Roman"/>
          <w:sz w:val="24"/>
        </w:rPr>
      </w:pPr>
      <w:r>
        <w:rPr>
          <w:rFonts w:cs="Times New Roman" w:ascii="Times New Roman" w:hAnsi="Times New Roman"/>
          <w:sz w:val="24"/>
        </w:rPr>
        <w:t xml:space="preserve">identify situations that would lead to reconsideration of the adopted PX-based SRAC; and </w:t>
      </w:r>
    </w:p>
    <w:p>
      <w:pPr>
        <w:pStyle w:val="standard"/>
        <w:numPr>
          <w:ilvl w:val="0"/>
          <w:numId w:val="2"/>
        </w:numPr>
        <w:spacing w:lineRule="auto" w:line="240" w:before="120" w:after="360"/>
        <w:rPr>
          <w:rFonts w:ascii="Times New Roman" w:hAnsi="Times New Roman" w:cs="Times New Roman"/>
          <w:sz w:val="24"/>
        </w:rPr>
      </w:pPr>
      <w:r>
        <w:rPr>
          <w:rFonts w:cs="Times New Roman" w:ascii="Times New Roman" w:hAnsi="Times New Roman"/>
          <w:sz w:val="24"/>
        </w:rPr>
        <w:t>clarify regulatory procedures surrounding the payments.</w:t>
      </w:r>
    </w:p>
    <w:p>
      <w:pPr>
        <w:pStyle w:val="Heading3"/>
        <w:ind w:hanging="0" w:start="0"/>
        <w:rPr>
          <w:b w:val="false"/>
          <w:bCs w:val="false"/>
          <w:i w:val="false"/>
          <w:i w:val="false"/>
          <w:iCs w:val="false"/>
        </w:rPr>
      </w:pPr>
      <w:r>
        <w:rPr/>
        <w:t>The Judges Proposed Decision</w:t>
      </w:r>
    </w:p>
    <w:p>
      <w:pPr>
        <w:pStyle w:val="Normal"/>
        <w:rPr/>
      </w:pPr>
      <w:r>
        <w:rPr/>
        <w:tab/>
        <w:t>Having taken evidence from interested parties, the judge presiding over the Commission’s proceeding issued a proposed decision on September 5</w:t>
      </w:r>
      <w:r>
        <w:rPr>
          <w:vertAlign w:val="superscript"/>
        </w:rPr>
        <w:t>th</w:t>
      </w:r>
      <w:r>
        <w:rPr/>
        <w:t>.  In sum, the decision concludes that:</w:t>
      </w:r>
    </w:p>
    <w:p>
      <w:pPr>
        <w:pStyle w:val="Normal"/>
        <w:rPr/>
      </w:pPr>
      <w:r>
        <w:rPr/>
      </w:r>
    </w:p>
    <w:p>
      <w:pPr>
        <w:pStyle w:val="Normal"/>
        <w:numPr>
          <w:ilvl w:val="0"/>
          <w:numId w:val="4"/>
        </w:numPr>
        <w:tabs>
          <w:tab w:val="clear" w:pos="720"/>
        </w:tabs>
        <w:ind w:hanging="360" w:start="540" w:end="0"/>
        <w:rPr/>
      </w:pPr>
      <w:r>
        <w:rPr/>
        <w:t>QFs should receive the PX day-ahead zonal market-clearing price;</w:t>
      </w:r>
    </w:p>
    <w:p>
      <w:pPr>
        <w:pStyle w:val="Normal"/>
        <w:numPr>
          <w:ilvl w:val="0"/>
          <w:numId w:val="4"/>
        </w:numPr>
        <w:tabs>
          <w:tab w:val="clear" w:pos="720"/>
        </w:tabs>
        <w:ind w:hanging="360" w:start="540" w:end="0"/>
        <w:rPr/>
      </w:pPr>
      <w:r>
        <w:rPr/>
        <w:t>“</w:t>
      </w:r>
      <w:r>
        <w:rPr/>
        <w:t>intermittent” resources (e.g., run-of-river hydro and wind) should have the option of receiving the monthly weighted-average PX day-ahead price;</w:t>
      </w:r>
    </w:p>
    <w:p>
      <w:pPr>
        <w:pStyle w:val="Normal"/>
        <w:numPr>
          <w:ilvl w:val="0"/>
          <w:numId w:val="4"/>
        </w:numPr>
        <w:tabs>
          <w:tab w:val="clear" w:pos="720"/>
        </w:tabs>
        <w:ind w:hanging="360" w:start="540" w:end="0"/>
        <w:rPr/>
      </w:pPr>
      <w:r>
        <w:rPr/>
        <w:t>for the majority of the hours, the PX price includes a capacity component;</w:t>
      </w:r>
    </w:p>
    <w:p>
      <w:pPr>
        <w:pStyle w:val="Normal"/>
        <w:numPr>
          <w:ilvl w:val="0"/>
          <w:numId w:val="4"/>
        </w:numPr>
        <w:tabs>
          <w:tab w:val="clear" w:pos="720"/>
        </w:tabs>
        <w:ind w:hanging="360" w:start="540" w:end="0"/>
        <w:rPr/>
      </w:pPr>
      <w:r>
        <w:rPr/>
        <w:t>the value of the capacity ought to be subtracted from the PX price for the purpose of paying QFs PX-based prices;</w:t>
      </w:r>
    </w:p>
    <w:p>
      <w:pPr>
        <w:pStyle w:val="Normal"/>
        <w:numPr>
          <w:ilvl w:val="0"/>
          <w:numId w:val="4"/>
        </w:numPr>
        <w:tabs>
          <w:tab w:val="clear" w:pos="720"/>
        </w:tabs>
        <w:ind w:hanging="360" w:start="540" w:end="0"/>
        <w:rPr/>
      </w:pPr>
      <w:r>
        <w:rPr/>
        <w:t>a 50/50 weighting of ISO spinning reserve and non-spinning reserve prices is a reasonable measure of capacity value;</w:t>
      </w:r>
    </w:p>
    <w:p>
      <w:pPr>
        <w:pStyle w:val="Normal"/>
        <w:numPr>
          <w:ilvl w:val="0"/>
          <w:numId w:val="4"/>
        </w:numPr>
        <w:tabs>
          <w:tab w:val="clear" w:pos="720"/>
        </w:tabs>
        <w:ind w:hanging="360" w:start="540" w:end="0"/>
        <w:rPr>
          <w:i/>
          <w:i/>
          <w:iCs/>
        </w:rPr>
      </w:pPr>
      <w:r>
        <w:rPr>
          <w:i/>
          <w:iCs/>
        </w:rPr>
        <w:t>the language of AB 1890 prevents the Commission from subtracting the value of capacity from the PX;</w:t>
      </w:r>
    </w:p>
    <w:p>
      <w:pPr>
        <w:pStyle w:val="Normal"/>
        <w:numPr>
          <w:ilvl w:val="0"/>
          <w:numId w:val="4"/>
        </w:numPr>
        <w:tabs>
          <w:tab w:val="clear" w:pos="720"/>
        </w:tabs>
        <w:ind w:hanging="360" w:start="540" w:end="0"/>
        <w:rPr/>
      </w:pPr>
      <w:r>
        <w:rPr/>
        <w:t>QFs operating under as-available contracts should only receive the day-ahead zonal market-clearly price, and should no longer receive any adjustment for the value of capacity;</w:t>
      </w:r>
    </w:p>
    <w:p>
      <w:pPr>
        <w:pStyle w:val="Normal"/>
        <w:numPr>
          <w:ilvl w:val="0"/>
          <w:numId w:val="4"/>
        </w:numPr>
        <w:tabs>
          <w:tab w:val="clear" w:pos="720"/>
        </w:tabs>
        <w:ind w:hanging="360" w:start="540" w:end="0"/>
        <w:rPr/>
      </w:pPr>
      <w:r>
        <w:rPr/>
        <w:t>the ISO’s Generation Meter Multipliers (GMMs) should determine line losses as part of the switch from SRAC to PX-based pricing;</w:t>
      </w:r>
    </w:p>
    <w:p>
      <w:pPr>
        <w:pStyle w:val="Normal"/>
        <w:numPr>
          <w:ilvl w:val="0"/>
          <w:numId w:val="4"/>
        </w:numPr>
        <w:tabs>
          <w:tab w:val="clear" w:pos="720"/>
        </w:tabs>
        <w:ind w:hanging="360" w:start="540" w:end="0"/>
        <w:rPr/>
      </w:pPr>
      <w:r>
        <w:rPr/>
        <w:t>the formula for line losses should be GMM</w:t>
      </w:r>
      <w:r>
        <w:rPr>
          <w:vertAlign w:val="subscript"/>
        </w:rPr>
        <w:t>QF</w:t>
      </w:r>
      <w:r>
        <w:rPr/>
        <w:t>/GMM</w:t>
      </w:r>
      <w:r>
        <w:rPr>
          <w:vertAlign w:val="subscript"/>
        </w:rPr>
        <w:t>System;</w:t>
      </w:r>
    </w:p>
    <w:p>
      <w:pPr>
        <w:pStyle w:val="Normal"/>
        <w:numPr>
          <w:ilvl w:val="0"/>
          <w:numId w:val="4"/>
        </w:numPr>
        <w:tabs>
          <w:tab w:val="clear" w:pos="720"/>
        </w:tabs>
        <w:ind w:hanging="360" w:start="540" w:end="0"/>
        <w:rPr/>
      </w:pPr>
      <w:r>
        <w:rPr/>
        <w:t>the decision should apply immediately to QFs who have exercised the one-time option under AB 1890 to switch from SRAC to PX-based pricing;</w:t>
      </w:r>
    </w:p>
    <w:p>
      <w:pPr>
        <w:pStyle w:val="Normal"/>
        <w:numPr>
          <w:ilvl w:val="0"/>
          <w:numId w:val="4"/>
        </w:numPr>
        <w:tabs>
          <w:tab w:val="clear" w:pos="720"/>
        </w:tabs>
        <w:ind w:hanging="360" w:start="540" w:end="0"/>
        <w:rPr/>
      </w:pPr>
      <w:r>
        <w:rPr/>
        <w:t>requiring QF pricing to switch from SRAC to PX-based pricing should not occur unless and until:</w:t>
      </w:r>
    </w:p>
    <w:p>
      <w:pPr>
        <w:pStyle w:val="Normal"/>
        <w:numPr>
          <w:ilvl w:val="1"/>
          <w:numId w:val="3"/>
        </w:numPr>
        <w:rPr/>
      </w:pPr>
      <w:r>
        <w:rPr/>
        <w:t xml:space="preserve">the PX day-ahead market provides an ongoing market-clearing price, </w:t>
      </w:r>
      <w:r>
        <w:rPr>
          <w:b/>
          <w:bCs/>
          <w:i/>
          <w:iCs/>
        </w:rPr>
        <w:t>and</w:t>
      </w:r>
      <w:r>
        <w:rPr>
          <w:u w:val="single"/>
        </w:rPr>
        <w:t>,</w:t>
      </w:r>
      <w:r>
        <w:rPr/>
        <w:t xml:space="preserve"> </w:t>
      </w:r>
    </w:p>
    <w:p>
      <w:pPr>
        <w:pStyle w:val="Normal"/>
        <w:numPr>
          <w:ilvl w:val="1"/>
          <w:numId w:val="3"/>
        </w:numPr>
        <w:rPr/>
      </w:pPr>
      <w:r>
        <w:rPr/>
        <w:t xml:space="preserve">the PX day-ahead market is the market where utilities procure the majority of energy for their customers, </w:t>
      </w:r>
      <w:r>
        <w:rPr>
          <w:b/>
          <w:bCs/>
          <w:i/>
          <w:iCs/>
        </w:rPr>
        <w:t>and</w:t>
      </w:r>
      <w:r>
        <w:rPr>
          <w:u w:val="single"/>
        </w:rPr>
        <w:t>,</w:t>
      </w:r>
      <w:r>
        <w:rPr/>
        <w:t xml:space="preserve"> </w:t>
      </w:r>
    </w:p>
    <w:p>
      <w:pPr>
        <w:pStyle w:val="Normal"/>
        <w:numPr>
          <w:ilvl w:val="1"/>
          <w:numId w:val="3"/>
        </w:numPr>
        <w:rPr/>
      </w:pPr>
      <w:r>
        <w:rPr/>
        <w:t>the PX day-ahead market reasonably represents the costs of other allowable utility purchases</w:t>
      </w:r>
    </w:p>
    <w:p>
      <w:pPr>
        <w:pStyle w:val="Normal"/>
        <w:numPr>
          <w:ilvl w:val="2"/>
          <w:numId w:val="3"/>
        </w:numPr>
        <w:tabs>
          <w:tab w:val="clear" w:pos="720"/>
        </w:tabs>
        <w:ind w:hanging="360" w:start="540" w:end="0"/>
        <w:rPr/>
      </w:pPr>
      <w:r>
        <w:rPr/>
        <w:t>the Commission should begin its inquiry into whether the criteria have been satisfied 45 days after the Commission issues a decision in first phase of the proceeding;</w:t>
      </w:r>
    </w:p>
    <w:p>
      <w:pPr>
        <w:pStyle w:val="Normal"/>
        <w:numPr>
          <w:ilvl w:val="2"/>
          <w:numId w:val="3"/>
        </w:numPr>
        <w:tabs>
          <w:tab w:val="clear" w:pos="720"/>
        </w:tabs>
        <w:ind w:hanging="360" w:start="540" w:end="0"/>
        <w:rPr/>
      </w:pPr>
      <w:r>
        <w:rPr/>
        <w:t>if the utilities purchase less than 50% of their power from the PX over a 6-month period, the Commission should revisit whether QFs ought to be paid a PX-based price.</w:t>
      </w:r>
    </w:p>
    <w:p>
      <w:pPr>
        <w:pStyle w:val="Normal"/>
        <w:rPr/>
      </w:pPr>
      <w:r>
        <w:rPr/>
      </w:r>
    </w:p>
    <w:p>
      <w:pPr>
        <w:pStyle w:val="Heading3"/>
        <w:ind w:hanging="0" w:start="0"/>
        <w:rPr/>
      </w:pPr>
      <w:r>
        <w:rPr/>
        <w:t>Analysis</w:t>
      </w:r>
    </w:p>
    <w:p>
      <w:pPr>
        <w:pStyle w:val="Normal"/>
        <w:numPr>
          <w:ilvl w:val="3"/>
          <w:numId w:val="3"/>
        </w:numPr>
        <w:tabs>
          <w:tab w:val="clear" w:pos="720"/>
        </w:tabs>
        <w:ind w:hanging="360" w:start="540" w:end="0"/>
        <w:rPr/>
      </w:pPr>
      <w:r>
        <w:rPr/>
        <w:t>The Commission can either adopt wholesale or in part the judge’s decision, or the Commission can reject the decision altogether in favor of its own decision (provided that any changes made are consistent with the factual record the judge developed in the case).</w:t>
      </w:r>
    </w:p>
    <w:p>
      <w:pPr>
        <w:pStyle w:val="Normal"/>
        <w:numPr>
          <w:ilvl w:val="3"/>
          <w:numId w:val="3"/>
        </w:numPr>
        <w:tabs>
          <w:tab w:val="clear" w:pos="720"/>
        </w:tabs>
        <w:ind w:hanging="360" w:start="540" w:end="0"/>
        <w:rPr/>
      </w:pPr>
      <w:r>
        <w:rPr/>
        <w:t>The Commission can vote out a final decision on October 5</w:t>
      </w:r>
      <w:r>
        <w:rPr>
          <w:vertAlign w:val="superscript"/>
        </w:rPr>
        <w:t>th</w:t>
      </w:r>
      <w:r>
        <w:rPr/>
        <w:t xml:space="preserve"> (the date is appears on its business agenda), or it can delay a decision almost indefinitely.  The likelihood that the Commission will ultimately vote in favor of the PX-based pricing methodology proposed in the judge’s decision is slighly better than 50%.</w:t>
      </w:r>
    </w:p>
    <w:p>
      <w:pPr>
        <w:pStyle w:val="Normal"/>
        <w:numPr>
          <w:ilvl w:val="3"/>
          <w:numId w:val="3"/>
        </w:numPr>
        <w:tabs>
          <w:tab w:val="clear" w:pos="720"/>
        </w:tabs>
        <w:ind w:hanging="360" w:start="540" w:end="0"/>
        <w:rPr/>
      </w:pPr>
      <w:r>
        <w:rPr/>
        <w:t>In order to require all QFs to switch to PX-based prices, the Commission must issue an additional decision in Phase 2 of the proceeding finding that the three criteria listed above have been met.</w:t>
      </w:r>
    </w:p>
    <w:p>
      <w:pPr>
        <w:pStyle w:val="Normal"/>
        <w:numPr>
          <w:ilvl w:val="3"/>
          <w:numId w:val="3"/>
        </w:numPr>
        <w:tabs>
          <w:tab w:val="clear" w:pos="720"/>
        </w:tabs>
        <w:ind w:hanging="360" w:start="540" w:end="0"/>
        <w:rPr/>
      </w:pPr>
      <w:r>
        <w:rPr/>
        <w:t>If the Commission votes the Phase 1 decision out, it will only apply to QFs who have voluntarily exercised the one-time option to switch from SRAC to QF pricing provided by AB 1890. (This may give the Commission an incentive to vote the decision out before the end of the year.  However, there are currently only 2 Davis (Democratic) appointees on the Commission.  The term of one of the Republican Commissioners expires at the end of the year, giving Davis another appointment and a majority of Democrats.  This may give Davis an incentive to have the President of the Commission—his appointee—delay the decision until after January 1</w:t>
      </w:r>
      <w:r>
        <w:rPr>
          <w:vertAlign w:val="superscript"/>
        </w:rPr>
        <w:t>st</w:t>
      </w:r>
      <w:r>
        <w:rPr/>
        <w:t>.)</w:t>
      </w:r>
    </w:p>
    <w:p>
      <w:pPr>
        <w:pStyle w:val="Normal"/>
        <w:numPr>
          <w:ilvl w:val="3"/>
          <w:numId w:val="3"/>
        </w:numPr>
        <w:tabs>
          <w:tab w:val="clear" w:pos="720"/>
        </w:tabs>
        <w:ind w:hanging="360" w:start="540" w:end="0"/>
        <w:rPr/>
      </w:pPr>
      <w:r>
        <w:rPr/>
        <w:t>The earliest the Commission could realistically issue a decision in Phase 2 of the proceeding is Q2/2001.</w:t>
      </w:r>
    </w:p>
    <w:p>
      <w:pPr>
        <w:pStyle w:val="Normal"/>
        <w:numPr>
          <w:ilvl w:val="3"/>
          <w:numId w:val="3"/>
        </w:numPr>
        <w:tabs>
          <w:tab w:val="clear" w:pos="720"/>
        </w:tabs>
        <w:ind w:hanging="360" w:start="540" w:end="0"/>
        <w:rPr/>
      </w:pPr>
      <w:r>
        <w:rPr/>
        <w:t>The President of the Commission continues to claim that the PX market is dysfunctional, victimized by market power, and producing unjust and unreasonable prices.</w:t>
      </w:r>
    </w:p>
    <w:p>
      <w:pPr>
        <w:pStyle w:val="Normal"/>
        <w:numPr>
          <w:ilvl w:val="3"/>
          <w:numId w:val="3"/>
        </w:numPr>
        <w:tabs>
          <w:tab w:val="clear" w:pos="720"/>
        </w:tabs>
        <w:ind w:hanging="360" w:start="540" w:end="0"/>
        <w:rPr/>
      </w:pPr>
      <w:r>
        <w:rPr/>
        <w:t>It is therefore very unlikely that the Commission would find over the next 12 months that the PX day-ahead market reasonably represents the costs of other allowable utility purchases, which is one of the three criteria that must be met to switch from SRAC to PX-based pricing.</w:t>
      </w:r>
    </w:p>
    <w:p>
      <w:pPr>
        <w:pStyle w:val="Normal"/>
        <w:numPr>
          <w:ilvl w:val="3"/>
          <w:numId w:val="3"/>
        </w:numPr>
        <w:tabs>
          <w:tab w:val="clear" w:pos="720"/>
        </w:tabs>
        <w:ind w:hanging="360" w:start="540" w:end="0"/>
        <w:rPr/>
      </w:pPr>
      <w:r>
        <w:rPr/>
        <w:t>The proposed decision strongly favors adjusting the PX price downward to reflect capacity value but asserts that AB 1890 prevents the Commission from doing so.  This could prompt the utilities to try to amend AB 1890 at the Legislature, and/or petition FERC to require the CPUC to adjust the PX-based price to reflect capacity.</w:t>
      </w:r>
    </w:p>
    <w:p>
      <w:pPr>
        <w:pStyle w:val="Normal"/>
        <w:numPr>
          <w:ilvl w:val="3"/>
          <w:numId w:val="3"/>
        </w:numPr>
        <w:tabs>
          <w:tab w:val="clear" w:pos="720"/>
        </w:tabs>
        <w:ind w:hanging="360" w:start="540" w:end="0"/>
        <w:rPr/>
      </w:pPr>
      <w:r>
        <w:rPr/>
        <w:t>The pressure is high in California to permit the utilities to go around the PX and purchase power elsewhere.  If the utilities begin to purchase a significant amount of power outside the PX, the CPUC could abandon PX-based QF pricing altogether.</w:t>
      </w:r>
    </w:p>
    <w:p>
      <w:pPr>
        <w:pStyle w:val="Normal"/>
        <w:numPr>
          <w:ilvl w:val="3"/>
          <w:numId w:val="3"/>
        </w:numPr>
        <w:tabs>
          <w:tab w:val="clear" w:pos="720"/>
        </w:tabs>
        <w:ind w:hanging="360" w:start="540" w:end="0"/>
        <w:rPr/>
      </w:pPr>
      <w:r>
        <w:rPr/>
        <w:t>My assessment regarding the likelihood that the Commission requires all QFs to switch to PX-based pricing is as follows:</w:t>
      </w:r>
    </w:p>
    <w:p>
      <w:pPr>
        <w:pStyle w:val="Normal"/>
        <w:numPr>
          <w:ilvl w:val="4"/>
          <w:numId w:val="3"/>
        </w:numPr>
        <w:tabs>
          <w:tab w:val="clear" w:pos="720"/>
        </w:tabs>
        <w:ind w:hanging="360" w:start="1440" w:end="0"/>
        <w:rPr/>
      </w:pPr>
      <w:r>
        <w:rPr/>
        <w:t>over the next 12 months--25%</w:t>
      </w:r>
    </w:p>
    <w:p>
      <w:pPr>
        <w:pStyle w:val="Normal"/>
        <w:numPr>
          <w:ilvl w:val="4"/>
          <w:numId w:val="3"/>
        </w:numPr>
        <w:tabs>
          <w:tab w:val="clear" w:pos="720"/>
        </w:tabs>
        <w:ind w:hanging="360" w:start="1440" w:end="0"/>
        <w:rPr/>
      </w:pPr>
      <w:r>
        <w:rPr/>
        <w:t>over the next 24 months--50%</w:t>
      </w:r>
    </w:p>
    <w:p>
      <w:pPr>
        <w:pStyle w:val="Normal"/>
        <w:numPr>
          <w:ilvl w:val="4"/>
          <w:numId w:val="3"/>
        </w:numPr>
        <w:tabs>
          <w:tab w:val="clear" w:pos="720"/>
        </w:tabs>
        <w:ind w:hanging="360" w:start="1440" w:end="0"/>
        <w:rPr/>
      </w:pPr>
      <w:r>
        <w:rPr/>
        <w:t xml:space="preserve">over the next 36 months--marginally greater than 50%.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Palatino">
    <w:altName w:val="Book Antiqua"/>
    <w:charset w:val="00" w:characterSet="windows-1252"/>
    <w:family w:val="roman"/>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95"/>
        </w:tabs>
        <w:ind w:start="1095" w:hanging="375"/>
      </w:pPr>
      <w:rPr/>
    </w:lvl>
  </w:abstractNum>
  <w:abstractNum w:abstractNumId="3">
    <w:lvl w:ilvl="0">
      <w:start w:val="1"/>
      <w:numFmt w:val="bullet"/>
      <w:lvlText w:val=""/>
      <w:lvlJc w:val="start"/>
      <w:pPr>
        <w:tabs>
          <w:tab w:val="num" w:pos="2520"/>
        </w:tabs>
        <w:ind w:start="2520" w:hanging="360"/>
      </w:pPr>
      <w:rPr>
        <w:rFonts w:ascii="Symbol" w:hAnsi="Symbol" w:cs="Symbol" w:hint="default"/>
        <w:color w:val="000000"/>
      </w:rPr>
    </w:lvl>
    <w:lvl w:ilvl="1">
      <w:start w:val="1"/>
      <w:numFmt w:val="bullet"/>
      <w:lvlText w:val=""/>
      <w:lvlJc w:val="start"/>
      <w:pPr>
        <w:tabs>
          <w:tab w:val="num" w:pos="1440"/>
        </w:tabs>
        <w:ind w:start="1440" w:hanging="360"/>
      </w:pPr>
      <w:rPr>
        <w:rFonts w:ascii="Wingdings" w:hAnsi="Wingdings" w:cs="Wingdings" w:hint="default"/>
        <w:sz w:val="16"/>
      </w:rPr>
    </w:lvl>
    <w:lvl w:ilvl="2">
      <w:start w:val="1"/>
      <w:numFmt w:val="bullet"/>
      <w:lvlText w:val=""/>
      <w:lvlJc w:val="start"/>
      <w:pPr>
        <w:tabs>
          <w:tab w:val="num" w:pos="2160"/>
        </w:tabs>
        <w:ind w:start="2160" w:hanging="360"/>
      </w:pPr>
      <w:rPr>
        <w:rFonts w:ascii="Wingdings" w:hAnsi="Wingdings" w:cs="Wingdings" w:hint="default"/>
      </w:rPr>
    </w:lvl>
    <w:lvl w:ilvl="3">
      <w:start w:val="1"/>
      <w:numFmt w:val="decimal"/>
      <w:lvlText w:val="%4."/>
      <w:lvlJc w:val="start"/>
      <w:pPr>
        <w:tabs>
          <w:tab w:val="num" w:pos="2880"/>
        </w:tabs>
        <w:ind w:start="2880" w:hanging="360"/>
      </w:pPr>
    </w:lvl>
    <w:lvl w:ilvl="4">
      <w:start w:val="1"/>
      <w:numFmt w:val="bullet"/>
      <w:lvlText w:val=""/>
      <w:lvlJc w:val="start"/>
      <w:pPr>
        <w:tabs>
          <w:tab w:val="num" w:pos="3600"/>
        </w:tabs>
        <w:ind w:start="3600" w:hanging="360"/>
      </w:pPr>
      <w:rPr>
        <w:rFonts w:ascii="Wingdings" w:hAnsi="Wingdings" w:cs="Wingdings" w:hint="default"/>
        <w:sz w:val="16"/>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2520"/>
        </w:tabs>
        <w:ind w:start="252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outlineLvl w:val="2"/>
    </w:pPr>
    <w:rPr>
      <w:b/>
      <w:bCs/>
      <w:i/>
      <w:iCs/>
    </w:rPr>
  </w:style>
  <w:style w:type="character" w:styleId="WW8Num1z0">
    <w:name w:val="WW8Num1z0"/>
    <w:qFormat/>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Symbol" w:hAnsi="Symbol" w:cs="Symbol"/>
      <w:color w:val="000000"/>
    </w:rPr>
  </w:style>
  <w:style w:type="character" w:styleId="WW8Num3z1">
    <w:name w:val="WW8Num3z1"/>
    <w:qFormat/>
    <w:rPr>
      <w:rFonts w:ascii="Wingdings" w:hAnsi="Wingdings" w:cs="Wingdings"/>
      <w:sz w:val="16"/>
    </w:rPr>
  </w:style>
  <w:style w:type="character" w:styleId="WW8Num3z2">
    <w:name w:val="WW8Num3z2"/>
    <w:qFormat/>
    <w:rPr>
      <w:rFonts w:ascii="Wingdings" w:hAnsi="Wingdings" w:cs="Wingdings"/>
    </w:rPr>
  </w:style>
  <w:style w:type="character" w:styleId="WW8Num3z6">
    <w:name w:val="WW8Num3z6"/>
    <w:qFormat/>
    <w:rPr>
      <w:rFonts w:ascii="Symbol" w:hAnsi="Symbol" w:cs="Symbol"/>
    </w:rPr>
  </w:style>
  <w:style w:type="character" w:styleId="WW8Num3z7">
    <w:name w:val="WW8Num3z7"/>
    <w:qFormat/>
    <w:rPr>
      <w:rFonts w:ascii="Courier New" w:hAnsi="Courier New" w:cs="Courier New"/>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Symbol" w:hAnsi="Symbol" w:cs="Symbol"/>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
    <w:name w:val="standard"/>
    <w:basedOn w:val="Normal"/>
    <w:qFormat/>
    <w:pPr>
      <w:spacing w:lineRule="auto" w:line="360"/>
      <w:ind w:firstLine="720" w:start="0" w:end="0"/>
    </w:pPr>
    <w:rPr>
      <w:rFonts w:ascii="Palatino;Book Antiqua" w:hAnsi="Palatino;Book Antiqua" w:cs="Palatino;Book Antiqua"/>
      <w:sz w:val="26"/>
      <w:szCs w:val="20"/>
    </w:rPr>
  </w:style>
  <w:style w:type="paragraph" w:styleId="BodyTextIndent">
    <w:name w:val="Body Text Indent"/>
    <w:basedOn w:val="Normal"/>
    <w:pPr>
      <w:ind w:firstLine="72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2000-09-15T13:43:00Z</dcterms:created>
  <dc:creator>jdasovic</dc:creator>
  <dc:description/>
  <dc:language>en-CA</dc:language>
  <cp:lastModifiedBy>jdasovic</cp:lastModifiedBy>
  <cp:lastPrinted>2000-09-15T17:18:00Z</cp:lastPrinted>
  <dcterms:modified xsi:type="dcterms:W3CDTF">2000-09-15T20:16:00Z</dcterms:modified>
  <cp:revision>15</cp:revision>
  <dc:subject/>
  <dc:title>MEMORANDUM</dc:title>
</cp:coreProperties>
</file>