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60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1057910</wp:posOffset>
                </wp:positionH>
                <wp:positionV relativeFrom="paragraph">
                  <wp:posOffset>-647065</wp:posOffset>
                </wp:positionV>
                <wp:extent cx="3820160" cy="207899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160" cy="20789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drawing>
                                <wp:inline distT="0" distB="0" distL="0" distR="0">
                                  <wp:extent cx="1783080" cy="177165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3" t="-13" r="-13" b="-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08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Ref480190648"/>
                            <w:bookmarkEnd w:id="0"/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2"/>
                              </w:rPr>
                              <w:t>InterOffice Memo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0.8pt;height:163.7pt;mso-wrap-distance-left:9pt;mso-wrap-distance-right:9pt;mso-wrap-distance-top:0pt;mso-wrap-distance-bottom:0pt;margin-top:-50.95pt;mso-position-vertical-relative:text;margin-left:83.3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spacing w:before="0" w:after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drawing>
                          <wp:inline distT="0" distB="0" distL="0" distR="0">
                            <wp:extent cx="1783080" cy="177165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3" t="-13" r="-13" b="-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080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Ref480190648"/>
                      <w:bookmarkEnd w:id="1"/>
                    </w:p>
                    <w:p>
                      <w:pPr>
                        <w:pStyle w:val="Normal"/>
                        <w:spacing w:before="0" w:after="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color w:val="000080"/>
                          <w:sz w:val="22"/>
                        </w:rPr>
                      </w:pPr>
                      <w:r>
                        <w:rPr>
                          <w:b/>
                          <w:color w:val="000080"/>
                          <w:sz w:val="22"/>
                        </w:rPr>
                        <w:t>InterOffice Memo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7560"/>
      </w:tblGrid>
      <w:tr>
        <w:trPr/>
        <w:tc>
          <w:tcPr>
            <w:tcW w:w="1188" w:type="dxa"/>
            <w:tcBorders/>
          </w:tcPr>
          <w:p>
            <w:pPr>
              <w:pStyle w:val="Normal"/>
              <w:spacing w:before="0" w:after="0"/>
              <w:rPr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To:</w:t>
            </w:r>
          </w:p>
        </w:tc>
        <w:tc>
          <w:tcPr>
            <w:tcW w:w="7560" w:type="dxa"/>
            <w:tcBorders/>
          </w:tcPr>
          <w:p>
            <w:pPr>
              <w:pStyle w:val="To"/>
              <w:spacing w:before="0" w:after="0"/>
              <w:rPr>
                <w:b/>
                <w:color w:val="000080"/>
                <w:sz w:val="22"/>
              </w:rPr>
            </w:pPr>
            <w:bookmarkStart w:id="2" w:name="To"/>
            <w:bookmarkEnd w:id="2"/>
            <w:r>
              <w:rPr>
                <w:b/>
                <w:color w:val="000080"/>
                <w:sz w:val="22"/>
              </w:rPr>
              <w:t>Government Affairs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Normal"/>
              <w:spacing w:before="0" w:after="0"/>
              <w:rPr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From:</w:t>
            </w:r>
          </w:p>
        </w:tc>
        <w:tc>
          <w:tcPr>
            <w:tcW w:w="7560" w:type="dxa"/>
            <w:tcBorders/>
          </w:tcPr>
          <w:p>
            <w:pPr>
              <w:pStyle w:val="From"/>
              <w:spacing w:before="0" w:after="0"/>
              <w:rPr>
                <w:b/>
                <w:color w:val="000080"/>
                <w:sz w:val="22"/>
              </w:rPr>
            </w:pPr>
            <w:bookmarkStart w:id="3" w:name="From"/>
            <w:bookmarkEnd w:id="3"/>
            <w:r>
              <w:rPr>
                <w:b/>
                <w:color w:val="000080"/>
                <w:sz w:val="22"/>
              </w:rPr>
              <w:t>A. Ibrahim</w:t>
            </w:r>
          </w:p>
        </w:tc>
      </w:tr>
      <w:tr>
        <w:trPr/>
        <w:tc>
          <w:tcPr>
            <w:tcW w:w="1188" w:type="dxa"/>
            <w:tcBorders/>
          </w:tcPr>
          <w:p>
            <w:pPr>
              <w:pStyle w:val="Normal"/>
              <w:spacing w:before="0" w:after="0"/>
              <w:rPr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Date:</w:t>
            </w:r>
          </w:p>
        </w:tc>
        <w:tc>
          <w:tcPr>
            <w:tcW w:w="7560" w:type="dxa"/>
            <w:tcBorders/>
          </w:tcPr>
          <w:p>
            <w:pPr>
              <w:pStyle w:val="Date"/>
              <w:spacing w:before="0" w:after="0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November 8, 2001</w:t>
            </w:r>
          </w:p>
        </w:tc>
      </w:tr>
      <w:tr>
        <w:trPr/>
        <w:tc>
          <w:tcPr>
            <w:tcW w:w="1188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0" w:after="0"/>
              <w:rPr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Subject:</w:t>
            </w:r>
          </w:p>
        </w:tc>
        <w:tc>
          <w:tcPr>
            <w:tcW w:w="7560" w:type="dxa"/>
            <w:tcBorders>
              <w:bottom w:val="single" w:sz="18" w:space="0" w:color="000000"/>
            </w:tcBorders>
          </w:tcPr>
          <w:p>
            <w:pPr>
              <w:pStyle w:val="Subject"/>
              <w:spacing w:before="0" w:after="0"/>
              <w:rPr>
                <w:color w:val="000080"/>
                <w:sz w:val="22"/>
              </w:rPr>
            </w:pPr>
            <w:bookmarkStart w:id="4" w:name="Subject"/>
            <w:bookmarkEnd w:id="4"/>
            <w:r>
              <w:rPr>
                <w:b/>
                <w:color w:val="000080"/>
                <w:sz w:val="22"/>
              </w:rPr>
              <w:t>Standard Practices – QFs/IPPs – Pre Final Draft</w:t>
            </w:r>
          </w:p>
        </w:tc>
      </w:tr>
    </w:tbl>
    <w:p>
      <w:pPr>
        <w:pStyle w:val="Normal"/>
        <w:spacing w:before="0" w:after="0"/>
        <w:rPr>
          <w:color w:val="000080"/>
          <w:sz w:val="22"/>
        </w:rPr>
      </w:pPr>
      <w:r>
        <w:rPr>
          <w:color w:val="000080"/>
          <w:sz w:val="22"/>
        </w:rPr>
      </w:r>
      <w:bookmarkStart w:id="5" w:name="StartOfMemo"/>
      <w:bookmarkStart w:id="6" w:name="StartOfMemo"/>
      <w:bookmarkEnd w:id="6"/>
    </w:p>
    <w:p>
      <w:pPr>
        <w:pStyle w:val="Normal"/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 xml:space="preserve">The suggested report for the QFs and/or PPAs under project Phoenix has evolved to the following five sections.  </w:t>
      </w:r>
    </w:p>
    <w:p>
      <w:pPr>
        <w:pStyle w:val="Normal"/>
        <w:spacing w:before="0" w:after="0"/>
        <w:rPr>
          <w:color w:val="000080"/>
          <w:sz w:val="22"/>
        </w:rPr>
      </w:pPr>
      <w:r>
        <w:rPr>
          <w:color w:val="000080"/>
          <w:sz w:val="22"/>
        </w:rPr>
      </w:r>
    </w:p>
    <w:p>
      <w:pPr>
        <w:pStyle w:val="Normal"/>
        <w:numPr>
          <w:ilvl w:val="0"/>
          <w:numId w:val="2"/>
        </w:numPr>
        <w:spacing w:before="0" w:after="0"/>
        <w:rPr>
          <w:b/>
          <w:bCs/>
          <w:color w:val="000080"/>
          <w:sz w:val="22"/>
        </w:rPr>
      </w:pPr>
      <w:r>
        <w:rPr>
          <w:b/>
          <w:bCs/>
          <w:color w:val="000080"/>
          <w:sz w:val="22"/>
          <w:u w:val="single"/>
        </w:rPr>
        <w:t>Section One</w:t>
      </w:r>
      <w:r>
        <w:rPr>
          <w:b/>
          <w:bCs/>
          <w:color w:val="000080"/>
          <w:sz w:val="22"/>
        </w:rPr>
        <w:t xml:space="preserve">:  </w:t>
      </w:r>
      <w:r>
        <w:rPr>
          <w:b/>
          <w:bCs/>
          <w:color w:val="000080"/>
          <w:sz w:val="22"/>
          <w:u w:val="single"/>
        </w:rPr>
        <w:t>Project Description</w:t>
      </w:r>
      <w:r>
        <w:rPr>
          <w:b/>
          <w:bCs/>
          <w:color w:val="000080"/>
          <w:sz w:val="22"/>
        </w:rPr>
        <w:t xml:space="preserve">.  </w:t>
      </w:r>
    </w:p>
    <w:p>
      <w:pPr>
        <w:pStyle w:val="BodyText2"/>
        <w:jc w:val="both"/>
        <w:rPr/>
      </w:pPr>
      <w:r>
        <w:rPr>
          <w:color w:val="000080"/>
          <w:sz w:val="22"/>
        </w:rPr>
        <w:t xml:space="preserve">This section determines, </w:t>
      </w:r>
      <w:r>
        <w:rPr>
          <w:color w:val="000080"/>
          <w:sz w:val="22"/>
          <w:u w:val="single"/>
        </w:rPr>
        <w:t>exactly</w:t>
      </w:r>
      <w:r>
        <w:rPr>
          <w:color w:val="000080"/>
          <w:sz w:val="22"/>
        </w:rPr>
        <w:t>, the scope of work in the project as it determines the areas that shall be covered, and thus target the document and limit it.  It should fulfill the following:</w:t>
      </w:r>
    </w:p>
    <w:p>
      <w:pPr>
        <w:pStyle w:val="BodyText2"/>
        <w:jc w:val="both"/>
        <w:rPr>
          <w:color w:val="000080"/>
          <w:sz w:val="22"/>
        </w:rPr>
      </w:pPr>
      <w:r>
        <w:rPr>
          <w:color w:val="000080"/>
          <w:sz w:val="22"/>
        </w:rPr>
      </w:r>
    </w:p>
    <w:p>
      <w:pPr>
        <w:pStyle w:val="BodyText2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Determine the nature of the generation asset (e.g., IPP, QF).</w:t>
      </w:r>
    </w:p>
    <w:p>
      <w:pPr>
        <w:pStyle w:val="BodyText2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Determine the coverage of the regulatory coverage needed (which jurisdiction the transaction is subject to).</w:t>
      </w:r>
    </w:p>
    <w:p>
      <w:pPr>
        <w:pStyle w:val="BodyText2"/>
        <w:numPr>
          <w:ilvl w:val="1"/>
          <w:numId w:val="2"/>
        </w:numPr>
        <w:tabs>
          <w:tab w:val="clear" w:pos="720"/>
          <w:tab w:val="left" w:pos="1800" w:leader="none"/>
        </w:tabs>
        <w:rPr>
          <w:color w:val="000080"/>
          <w:sz w:val="22"/>
        </w:rPr>
      </w:pPr>
      <w:r>
        <w:rPr>
          <w:color w:val="000080"/>
          <w:sz w:val="22"/>
        </w:rPr>
        <w:t>Determine the different market components on which the transaction is dependent upon (e.g., which ISO, transmission system, which distribution system).</w:t>
      </w:r>
    </w:p>
    <w:p>
      <w:pPr>
        <w:pStyle w:val="Normal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Determine the nature of the participants along the value chain (e.g. transmission customer, distribution customer, PPA).</w:t>
      </w:r>
    </w:p>
    <w:p>
      <w:pPr>
        <w:pStyle w:val="BodyText2"/>
        <w:tabs>
          <w:tab w:val="left" w:pos="720" w:leader="none"/>
        </w:tabs>
        <w:rPr>
          <w:color w:val="000080"/>
          <w:sz w:val="22"/>
        </w:rPr>
      </w:pPr>
      <w:r>
        <w:rPr>
          <w:color w:val="000080"/>
          <w:sz w:val="22"/>
        </w:rPr>
      </w:r>
    </w:p>
    <w:p>
      <w:pPr>
        <w:pStyle w:val="Normal"/>
        <w:numPr>
          <w:ilvl w:val="0"/>
          <w:numId w:val="2"/>
        </w:numPr>
        <w:spacing w:before="0" w:after="0"/>
        <w:rPr>
          <w:b/>
          <w:bCs/>
          <w:color w:val="000080"/>
          <w:sz w:val="22"/>
        </w:rPr>
      </w:pPr>
      <w:r>
        <w:rPr>
          <w:b/>
          <w:bCs/>
          <w:color w:val="000080"/>
          <w:sz w:val="22"/>
          <w:u w:val="single"/>
        </w:rPr>
        <w:t xml:space="preserve">Section Two: Contractual </w:t>
      </w:r>
      <w:commentRangeStart w:id="0"/>
      <w:r>
        <w:rPr>
          <w:b/>
          <w:bCs/>
          <w:color w:val="000080"/>
          <w:sz w:val="22"/>
          <w:u w:val="single"/>
        </w:rPr>
        <w:t>Issues</w:t>
      </w:r>
      <w:r>
        <w:rPr>
          <w:rStyle w:val="CommentReference"/>
          <w:b/>
          <w:bCs/>
          <w:vanish w:val="false"/>
          <w:color w:val="000080"/>
          <w:sz w:val="22"/>
        </w:rPr>
      </w:r>
      <w:commentRangeEnd w:id="0"/>
      <w:r>
        <w:commentReference w:id="0"/>
      </w:r>
      <w:r>
        <w:rPr>
          <w:b/>
          <w:bCs/>
          <w:color w:val="000080"/>
          <w:sz w:val="22"/>
        </w:rPr>
        <w:t>.</w:t>
      </w:r>
    </w:p>
    <w:p>
      <w:pPr>
        <w:pStyle w:val="Normal"/>
        <w:numPr>
          <w:ilvl w:val="1"/>
          <w:numId w:val="2"/>
        </w:numPr>
        <w:spacing w:before="0" w:after="0"/>
        <w:rPr>
          <w:b/>
          <w:bCs/>
          <w:color w:val="000080"/>
          <w:sz w:val="22"/>
        </w:rPr>
      </w:pPr>
      <w:r>
        <w:rPr>
          <w:b/>
          <w:bCs/>
          <w:color w:val="000080"/>
          <w:sz w:val="22"/>
        </w:rPr>
        <w:t xml:space="preserve">Qualified Facilities: </w:t>
      </w:r>
    </w:p>
    <w:p>
      <w:pPr>
        <w:pStyle w:val="Normal"/>
        <w:spacing w:before="0" w:after="0"/>
        <w:ind w:start="360" w:end="0"/>
        <w:rPr>
          <w:color w:val="000080"/>
          <w:sz w:val="22"/>
        </w:rPr>
      </w:pPr>
      <w:r>
        <w:rPr>
          <w:color w:val="000080"/>
          <w:sz w:val="22"/>
        </w:rPr>
        <w:t xml:space="preserve">This section deals with the contractual characteristics of the QF.  The analysis is done for each regulatory jurisdiction/utility/state that are determined in section one. 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Is there a “regulatory out provision” in the contract?  In other words, can regulatory action be used to support a suspension of a party’s rights or obligations?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Is this provision reflected adequately in the Force majeure clause?</w:t>
        <w:tab/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 xml:space="preserve">Are the payment provisions subject to regulatory review or adjustment?  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 xml:space="preserve">Are their performance provisions in the contract that create an opportunity for leverage by the utility or by the regulatory commission against the facility?  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Are there requirements that the QF retain its QF status? What are the penalties if any for failure to maintain QF status?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Are there provisions in the contract subjecting the contract to regulatory commission jurisdiction?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What is the term of the contract?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Are there provisions requiring commission approval of contract amendments?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Are there limitations on the amount of power that can be transferred over the interconnection?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Are there provisions limiting the configuration of the facility?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What are the Statutory Issues and Issues Raised by State Regulation?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Is there a restructuring statute?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Does it maintain the sanctity of QF contracts—express or implied?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 xml:space="preserve">Does the statute provide for the recovery, dollar-for-dollar, of a utility’s payments to QFs?  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When does the market open?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Are there provisions that allow the “securitization” of stranded costs?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 xml:space="preserve">Is there a formal incentive to reform contracts?  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 xml:space="preserve">Does the stranded cost treatment provided for QF contracts create an incentive to reform the contract?  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Will the stranded cost determination undermine efforts to value a buy out?  .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Does the statue eliminate the utility’s obligation to serve?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How will QF power be allocated among or between customers?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Will the utility have a “regulatory out” under the contract?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 xml:space="preserve">Where does the contract fit in terms of total cost among the utility’s stranded costs?  Among the utility’s QF contracts?  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What regulations will apply to the resource created by a buy out or reformation of the contract?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Does the entity lose any key regulatory protections it if loses QF status?</w:t>
      </w:r>
    </w:p>
    <w:p>
      <w:pPr>
        <w:pStyle w:val="Normal"/>
        <w:numPr>
          <w:ilvl w:val="2"/>
          <w:numId w:val="2"/>
        </w:numPr>
        <w:spacing w:before="0" w:after="0"/>
        <w:ind w:hanging="720" w:start="1440" w:end="0"/>
        <w:rPr>
          <w:color w:val="000080"/>
          <w:sz w:val="22"/>
        </w:rPr>
      </w:pPr>
      <w:r>
        <w:rPr>
          <w:color w:val="000080"/>
          <w:sz w:val="22"/>
        </w:rPr>
        <w:t>Will it become a retail provider regulated under a retail-restructuring scheme?</w:t>
      </w:r>
    </w:p>
    <w:p>
      <w:pPr>
        <w:pStyle w:val="BodyText"/>
        <w:rPr>
          <w:color w:val="000080"/>
          <w:sz w:val="22"/>
        </w:rPr>
      </w:pPr>
      <w:r>
        <w:rPr>
          <w:color w:val="000080"/>
          <w:sz w:val="22"/>
        </w:rPr>
      </w:r>
    </w:p>
    <w:p>
      <w:pPr>
        <w:pStyle w:val="BodyText"/>
        <w:numPr>
          <w:ilvl w:val="0"/>
          <w:numId w:val="2"/>
        </w:numPr>
        <w:rPr>
          <w:b/>
          <w:bCs/>
          <w:color w:val="000080"/>
          <w:sz w:val="22"/>
          <w:u w:val="single"/>
        </w:rPr>
      </w:pPr>
      <w:r>
        <w:rPr>
          <w:b/>
          <w:bCs/>
          <w:color w:val="000080"/>
          <w:sz w:val="22"/>
          <w:u w:val="single"/>
        </w:rPr>
        <w:t>Section Three: Transmission Service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Tariff, Terms and Conditions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Types of services offered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 xml:space="preserve">Conversion of existing service to ISO/RTO Tariff 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Access Fees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Definition of transmission rights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 xml:space="preserve">Rules of Capacity Allocation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 xml:space="preserve">Congestion management.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>OASIS, TTC/ATC: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>What are the rules of system expansion and reinforcement?</w:t>
      </w:r>
    </w:p>
    <w:p>
      <w:pPr>
        <w:pStyle w:val="Normal"/>
        <w:spacing w:before="0" w:after="0"/>
        <w:rPr>
          <w:color w:val="000080"/>
          <w:sz w:val="22"/>
        </w:rPr>
      </w:pPr>
      <w:r>
        <w:rPr>
          <w:color w:val="000080"/>
          <w:sz w:val="22"/>
        </w:rPr>
      </w:r>
    </w:p>
    <w:p>
      <w:pPr>
        <w:pStyle w:val="Heading1"/>
        <w:numPr>
          <w:ilvl w:val="0"/>
          <w:numId w:val="2"/>
        </w:numPr>
        <w:spacing w:before="0" w:after="0"/>
        <w:rPr>
          <w:color w:val="000080"/>
          <w:sz w:val="22"/>
          <w:u w:val="single"/>
        </w:rPr>
      </w:pPr>
      <w:bookmarkStart w:id="7" w:name="_Ref480190705"/>
      <w:r>
        <w:rPr>
          <w:color w:val="000080"/>
          <w:sz w:val="22"/>
          <w:u w:val="single"/>
        </w:rPr>
        <w:t>Section Four: The ISO/RTO</w:t>
      </w:r>
      <w:bookmarkEnd w:id="7"/>
      <w:r>
        <w:rPr>
          <w:color w:val="000080"/>
          <w:sz w:val="22"/>
          <w:u w:val="single"/>
        </w:rPr>
        <w:t>/Wholesale Market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 xml:space="preserve">The Role of the ISO/RTO.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 xml:space="preserve">Corporate Structure of the ISO/RTO. 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 xml:space="preserve">Definitions of the Market participants: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bookmarkStart w:id="8" w:name="_Ref445455244"/>
      <w:r>
        <w:rPr>
          <w:color w:val="000080"/>
          <w:sz w:val="22"/>
        </w:rPr>
        <w:t>Guarantees of Participation.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bookmarkStart w:id="9" w:name="_Ref445455244"/>
      <w:r>
        <w:rPr>
          <w:color w:val="000080"/>
          <w:sz w:val="22"/>
        </w:rPr>
        <w:t xml:space="preserve">Rights and Obligations of the </w:t>
      </w:r>
      <w:bookmarkEnd w:id="9"/>
      <w:r>
        <w:rPr>
          <w:color w:val="000080"/>
          <w:sz w:val="22"/>
        </w:rPr>
        <w:t xml:space="preserve">Market Participants.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 xml:space="preserve">Products of the ISO/RTO: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80"/>
          <w:sz w:val="22"/>
        </w:rPr>
      </w:pPr>
      <w:r>
        <w:rPr>
          <w:color w:val="000080"/>
          <w:sz w:val="22"/>
        </w:rPr>
        <w:t>Rules of Dispatch and Operation Coordination</w:t>
      </w:r>
      <w:bookmarkStart w:id="10" w:name="_Ref445784771"/>
    </w:p>
    <w:p>
      <w:pPr>
        <w:pStyle w:val="Normal"/>
        <w:numPr>
          <w:ilvl w:val="2"/>
          <w:numId w:val="2"/>
        </w:numPr>
        <w:spacing w:before="0" w:after="0"/>
        <w:rPr>
          <w:color w:val="000080"/>
          <w:sz w:val="22"/>
        </w:rPr>
      </w:pPr>
      <w:bookmarkStart w:id="11" w:name="_Ref523216097"/>
      <w:bookmarkEnd w:id="10"/>
      <w:r>
        <w:rPr>
          <w:color w:val="000080"/>
          <w:sz w:val="22"/>
        </w:rPr>
        <w:t>Ancillary Services</w:t>
      </w:r>
      <w:bookmarkEnd w:id="11"/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>Definition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 xml:space="preserve">Nomination </w:t>
      </w:r>
    </w:p>
    <w:p>
      <w:pPr>
        <w:pStyle w:val="Normal"/>
        <w:numPr>
          <w:ilvl w:val="1"/>
          <w:numId w:val="2"/>
        </w:numPr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>Treatment of Bilateral Transactions.</w:t>
      </w:r>
    </w:p>
    <w:p>
      <w:pPr>
        <w:pStyle w:val="Normal"/>
        <w:numPr>
          <w:ilvl w:val="1"/>
          <w:numId w:val="2"/>
        </w:numPr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>Order of Curtailment and Emergency Procedures.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10" w:leader="none"/>
        </w:tabs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 xml:space="preserve">Cost of Rationing.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10" w:leader="none"/>
        </w:tabs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>Account Settlement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10" w:leader="none"/>
        </w:tabs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 xml:space="preserve">Conflict Resolution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10" w:leader="none"/>
        </w:tabs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>Course of Appeal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10" w:leader="none"/>
        </w:tabs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>Cost of the Administrator.</w:t>
      </w:r>
    </w:p>
    <w:p>
      <w:pPr>
        <w:pStyle w:val="Normal"/>
        <w:spacing w:before="0" w:after="0"/>
        <w:rPr>
          <w:color w:val="000080"/>
          <w:sz w:val="22"/>
        </w:rPr>
      </w:pPr>
      <w:r>
        <w:rPr>
          <w:color w:val="000080"/>
          <w:sz w:val="22"/>
        </w:rPr>
      </w:r>
    </w:p>
    <w:p>
      <w:pPr>
        <w:pStyle w:val="Normal"/>
        <w:numPr>
          <w:ilvl w:val="0"/>
          <w:numId w:val="2"/>
        </w:numPr>
        <w:spacing w:before="0" w:after="0"/>
        <w:rPr>
          <w:color w:val="000080"/>
          <w:sz w:val="22"/>
          <w:u w:val="single"/>
        </w:rPr>
      </w:pPr>
      <w:r>
        <w:rPr>
          <w:b/>
          <w:bCs/>
          <w:color w:val="000080"/>
          <w:sz w:val="22"/>
          <w:u w:val="single"/>
        </w:rPr>
        <w:t>Section Five: Distribution Voltage Section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Tariff, Terms and Conditions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Rate Structure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Distribution Rate Review mechanism.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Order of Curtailment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Integrated Resource Plan required?</w:t>
      </w:r>
    </w:p>
    <w:p>
      <w:pPr>
        <w:pStyle w:val="BodyText"/>
        <w:numPr>
          <w:ilvl w:val="1"/>
          <w:numId w:val="2"/>
        </w:numPr>
        <w:rPr>
          <w:color w:val="000080"/>
          <w:sz w:val="22"/>
        </w:rPr>
      </w:pPr>
      <w:r>
        <w:rPr>
          <w:color w:val="000080"/>
          <w:sz w:val="22"/>
        </w:rPr>
        <w:t>Are there Specific contracts (transactions) approved through IRP process</w:t>
      </w:r>
      <w:r>
        <w:rPr>
          <w:sz w:val="22"/>
        </w:rPr>
        <w:t>.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10" w:leader="none"/>
        </w:tabs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>Account Settlement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10" w:leader="none"/>
        </w:tabs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 xml:space="preserve">Conflict Resolution 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10" w:leader="none"/>
        </w:tabs>
        <w:spacing w:before="0" w:after="0"/>
        <w:jc w:val="both"/>
        <w:rPr>
          <w:color w:val="000080"/>
          <w:sz w:val="22"/>
        </w:rPr>
      </w:pPr>
      <w:r>
        <w:rPr>
          <w:color w:val="000080"/>
          <w:sz w:val="22"/>
        </w:rPr>
        <w:t>Course of Appeal</w:t>
      </w:r>
    </w:p>
    <w:p>
      <w:pPr>
        <w:pStyle w:val="BodyText"/>
        <w:ind w:start="360" w:end="0"/>
        <w:rPr>
          <w:color w:val="000080"/>
          <w:sz w:val="22"/>
        </w:rPr>
      </w:pPr>
      <w:r>
        <w:rPr>
          <w:color w:val="000080"/>
          <w:sz w:val="22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800" w:right="1800" w:gutter="0" w:header="720" w:top="907" w:footer="72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ibrahi" w:date="0-00-00T00:00:00Z" w:initials="a">
    <w:p>
      <w:pPr>
        <w:overflowPunct w:val="false"/>
        <w:bidi w:val="0"/>
        <w:spacing w:before="0" w:after="0"/>
        <w:rPr/>
      </w:pPr>
      <w:r>
        <w:annotationRef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en-US" w:val="en-US" w:bidi="ar-SA"/>
        </w:rPr>
        <w:t>Is there a need to look into the fuel contract?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ind w:end="360"/>
      <w:rPr>
        <w:sz w:val="18"/>
      </w:rPr>
    </w:pPr>
    <w:r>
      <w:rPr>
        <w:sz w:val="18"/>
      </w:rPr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84785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847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60" w:after="6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4.55pt;mso-wrap-distance-left:0pt;mso-wrap-distance-right:0pt;mso-wrap-distance-top:0pt;mso-wrap-distance-bottom:0pt;margin-top:0.05pt;mso-position-vertical-relative:text;margin-left:426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60" w:after="6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7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120" w:after="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jc w:val="center"/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0" w:start="810" w:end="0"/>
      <w:jc w:val="center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color w:val="000080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0" w:after="0"/>
      <w:ind w:hanging="0" w:start="1440" w:end="0"/>
      <w:jc w:val="both"/>
      <w:outlineLvl w:val="8"/>
    </w:pPr>
    <w:rPr>
      <w:color w:val="800000"/>
      <w:u w:val="single"/>
    </w:rPr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51z0">
    <w:name w:val="WW8Num51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1z2">
    <w:name w:val="WW8Num61z2"/>
    <w:qFormat/>
    <w:rPr>
      <w:rFonts w:ascii="Wingdings" w:hAnsi="Wingdings" w:cs="Wingdings"/>
    </w:rPr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>
      <w:rFonts w:ascii="Symbol" w:hAnsi="Symbol" w:cs="Symbol"/>
    </w:rPr>
  </w:style>
  <w:style w:type="character" w:styleId="WW8Num67z0">
    <w:name w:val="WW8Num67z0"/>
    <w:qFormat/>
    <w:rPr/>
  </w:style>
  <w:style w:type="character" w:styleId="WW8Num68z0">
    <w:name w:val="WW8Num68z0"/>
    <w:qFormat/>
    <w:rPr>
      <w:rFonts w:ascii="Symbol" w:hAnsi="Symbol" w:cs="Symbol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2">
    <w:name w:val="WW8Num68z2"/>
    <w:qFormat/>
    <w:rPr>
      <w:rFonts w:ascii="Wingdings" w:hAnsi="Wingdings" w:cs="Wingdings"/>
    </w:rPr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>
      <w:rFonts w:ascii="Wingdings" w:hAnsi="Wingdings" w:cs="Wingdings"/>
    </w:rPr>
  </w:style>
  <w:style w:type="character" w:styleId="WW8Num77z1">
    <w:name w:val="WW8Num77z1"/>
    <w:qFormat/>
    <w:rPr>
      <w:rFonts w:ascii="Courier New" w:hAnsi="Courier New" w:cs="Courier New"/>
    </w:rPr>
  </w:style>
  <w:style w:type="character" w:styleId="WW8Num77z3">
    <w:name w:val="WW8Num77z3"/>
    <w:qFormat/>
    <w:rPr>
      <w:rFonts w:ascii="Symbol" w:hAnsi="Symbol" w:cs="Symbol"/>
    </w:rPr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2z0">
    <w:name w:val="WW8Num82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7z0">
    <w:name w:val="WW8Num87z0"/>
    <w:qFormat/>
    <w:rPr/>
  </w:style>
  <w:style w:type="character" w:styleId="WW8Num90z0">
    <w:name w:val="WW8Num90z0"/>
    <w:qFormat/>
    <w:rPr/>
  </w:style>
  <w:style w:type="character" w:styleId="WW8Num91z0">
    <w:name w:val="WW8Num91z0"/>
    <w:qFormat/>
    <w:rPr/>
  </w:style>
  <w:style w:type="character" w:styleId="WW8Num93z0">
    <w:name w:val="WW8Num93z0"/>
    <w:qFormat/>
    <w:rPr/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8z0">
    <w:name w:val="WW8Num98z0"/>
    <w:qFormat/>
    <w:rPr>
      <w:rFonts w:ascii="Symbol" w:hAnsi="Symbol" w:cs="Symbol"/>
    </w:rPr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8z2">
    <w:name w:val="WW8Num98z2"/>
    <w:qFormat/>
    <w:rPr>
      <w:rFonts w:ascii="Wingdings" w:hAnsi="Wingdings" w:cs="Wingdings"/>
    </w:rPr>
  </w:style>
  <w:style w:type="character" w:styleId="WW8Num99z0">
    <w:name w:val="WW8Num99z0"/>
    <w:qFormat/>
    <w:rPr>
      <w:rFonts w:ascii="Wingdings" w:hAnsi="Wingdings" w:cs="Wingdings"/>
    </w:rPr>
  </w:style>
  <w:style w:type="character" w:styleId="WW8Num99z1">
    <w:name w:val="WW8Num99z1"/>
    <w:qFormat/>
    <w:rPr/>
  </w:style>
  <w:style w:type="character" w:styleId="WW8Num100z0">
    <w:name w:val="WW8Num100z0"/>
    <w:qFormat/>
    <w:rPr/>
  </w:style>
  <w:style w:type="character" w:styleId="WW8Num101z0">
    <w:name w:val="WW8Num101z0"/>
    <w:qFormat/>
    <w:rPr/>
  </w:style>
  <w:style w:type="character" w:styleId="WW8Num102z0">
    <w:name w:val="WW8Num102z0"/>
    <w:qFormat/>
    <w:rPr/>
  </w:style>
  <w:style w:type="character" w:styleId="WW8Num103z0">
    <w:name w:val="WW8Num103z0"/>
    <w:qFormat/>
    <w:rPr/>
  </w:style>
  <w:style w:type="character" w:styleId="WW8Num104z0">
    <w:name w:val="WW8Num104z0"/>
    <w:qFormat/>
    <w:rPr/>
  </w:style>
  <w:style w:type="character" w:styleId="WW8Num105z0">
    <w:name w:val="WW8Num105z0"/>
    <w:qFormat/>
    <w:rPr/>
  </w:style>
  <w:style w:type="character" w:styleId="WW8Num106z0">
    <w:name w:val="WW8Num106z0"/>
    <w:qFormat/>
    <w:rPr>
      <w:rFonts w:ascii="Symbol" w:hAnsi="Symbol" w:cs="Symbol"/>
    </w:rPr>
  </w:style>
  <w:style w:type="character" w:styleId="WW8Num106z1">
    <w:name w:val="WW8Num106z1"/>
    <w:qFormat/>
    <w:rPr>
      <w:rFonts w:ascii="Courier New" w:hAnsi="Courier New" w:cs="Courier New"/>
    </w:rPr>
  </w:style>
  <w:style w:type="character" w:styleId="WW8Num106z2">
    <w:name w:val="WW8Num106z2"/>
    <w:qFormat/>
    <w:rPr>
      <w:rFonts w:ascii="Wingdings" w:hAnsi="Wingdings" w:cs="Wingdings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8z1">
    <w:name w:val="WW8Num108z1"/>
    <w:qFormat/>
    <w:rPr>
      <w:rFonts w:ascii="Courier New" w:hAnsi="Courier New" w:cs="Courier New"/>
    </w:rPr>
  </w:style>
  <w:style w:type="character" w:styleId="WW8Num108z2">
    <w:name w:val="WW8Num108z2"/>
    <w:qFormat/>
    <w:rPr>
      <w:rFonts w:ascii="Wingdings" w:hAnsi="Wingdings" w:cs="Wingdings"/>
    </w:rPr>
  </w:style>
  <w:style w:type="character" w:styleId="WW8Num109z0">
    <w:name w:val="WW8Num109z0"/>
    <w:qFormat/>
    <w:rPr/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/>
  </w:style>
  <w:style w:type="character" w:styleId="WW8Num115z0">
    <w:name w:val="WW8Num115z0"/>
    <w:qFormat/>
    <w:rPr/>
  </w:style>
  <w:style w:type="character" w:styleId="WW8Num116z1">
    <w:name w:val="WW8Num116z1"/>
    <w:qFormat/>
    <w:rPr/>
  </w:style>
  <w:style w:type="character" w:styleId="WW8Num117z0">
    <w:name w:val="WW8Num117z0"/>
    <w:qFormat/>
    <w:rPr/>
  </w:style>
  <w:style w:type="character" w:styleId="WW8Num118z0">
    <w:name w:val="WW8Num118z0"/>
    <w:qFormat/>
    <w:rPr/>
  </w:style>
  <w:style w:type="character" w:styleId="WW8Num120z0">
    <w:name w:val="WW8Num120z0"/>
    <w:qFormat/>
    <w:rPr/>
  </w:style>
  <w:style w:type="character" w:styleId="WW8Num121z0">
    <w:name w:val="WW8Num121z0"/>
    <w:qFormat/>
    <w:rPr/>
  </w:style>
  <w:style w:type="character" w:styleId="WW8Num122z0">
    <w:name w:val="WW8Num122z0"/>
    <w:qFormat/>
    <w:rPr/>
  </w:style>
  <w:style w:type="character" w:styleId="WW8Num123z0">
    <w:name w:val="WW8Num123z0"/>
    <w:qFormat/>
    <w:rPr/>
  </w:style>
  <w:style w:type="character" w:styleId="WW8Num127z0">
    <w:name w:val="WW8Num127z0"/>
    <w:qFormat/>
    <w:rPr/>
  </w:style>
  <w:style w:type="character" w:styleId="WW8Num128z0">
    <w:name w:val="WW8Num128z0"/>
    <w:qFormat/>
    <w:rPr/>
  </w:style>
  <w:style w:type="character" w:styleId="WW8Num132z0">
    <w:name w:val="WW8Num132z0"/>
    <w:qFormat/>
    <w:rPr/>
  </w:style>
  <w:style w:type="character" w:styleId="WW8Num133z0">
    <w:name w:val="WW8Num133z0"/>
    <w:qFormat/>
    <w:rPr/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/>
  </w:style>
  <w:style w:type="character" w:styleId="WW8Num136z1">
    <w:name w:val="WW8Num136z1"/>
    <w:qFormat/>
    <w:rPr>
      <w:rFonts w:ascii="Times New Roman" w:hAnsi="Times New Roman" w:eastAsia="Times New Roman" w:cs="Times New Roman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8z1">
    <w:name w:val="WW8Num138z1"/>
    <w:qFormat/>
    <w:rPr>
      <w:rFonts w:ascii="Courier New" w:hAnsi="Courier New" w:cs="Courier New"/>
    </w:rPr>
  </w:style>
  <w:style w:type="character" w:styleId="WW8Num138z2">
    <w:name w:val="WW8Num138z2"/>
    <w:qFormat/>
    <w:rPr>
      <w:rFonts w:ascii="Wingdings" w:hAnsi="Wingdings" w:cs="Wingdings"/>
    </w:rPr>
  </w:style>
  <w:style w:type="character" w:styleId="WW8Num139z0">
    <w:name w:val="WW8Num139z0"/>
    <w:qFormat/>
    <w:rPr/>
  </w:style>
  <w:style w:type="character" w:styleId="WW8Num142z0">
    <w:name w:val="WW8Num142z0"/>
    <w:qFormat/>
    <w:rPr/>
  </w:style>
  <w:style w:type="character" w:styleId="WW8Num143z0">
    <w:name w:val="WW8Num143z0"/>
    <w:qFormat/>
    <w:rPr/>
  </w:style>
  <w:style w:type="character" w:styleId="WW8Num144z0">
    <w:name w:val="WW8Num144z0"/>
    <w:qFormat/>
    <w:rPr>
      <w:rFonts w:ascii="Symbol" w:hAnsi="Symbol" w:cs="Symbol"/>
    </w:rPr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44z2">
    <w:name w:val="WW8Num144z2"/>
    <w:qFormat/>
    <w:rPr>
      <w:rFonts w:ascii="Wingdings" w:hAnsi="Wingdings" w:cs="Wingdings"/>
    </w:rPr>
  </w:style>
  <w:style w:type="character" w:styleId="WW8Num145z0">
    <w:name w:val="WW8Num145z0"/>
    <w:qFormat/>
    <w:rPr/>
  </w:style>
  <w:style w:type="character" w:styleId="WW8Num146z0">
    <w:name w:val="WW8Num146z0"/>
    <w:qFormat/>
    <w:rPr/>
  </w:style>
  <w:style w:type="character" w:styleId="WW8Num147z0">
    <w:name w:val="WW8Num147z0"/>
    <w:qFormat/>
    <w:rPr/>
  </w:style>
  <w:style w:type="character" w:styleId="WW8Num148z0">
    <w:name w:val="WW8Num148z0"/>
    <w:qFormat/>
    <w:rPr>
      <w:rFonts w:ascii="Symbol" w:hAnsi="Symbol" w:cs="Symbol"/>
    </w:rPr>
  </w:style>
  <w:style w:type="character" w:styleId="WW8Num148z1">
    <w:name w:val="WW8Num148z1"/>
    <w:qFormat/>
    <w:rPr>
      <w:rFonts w:ascii="Courier New" w:hAnsi="Courier New" w:cs="Courier New"/>
    </w:rPr>
  </w:style>
  <w:style w:type="character" w:styleId="WW8Num148z2">
    <w:name w:val="WW8Num148z2"/>
    <w:qFormat/>
    <w:rPr>
      <w:rFonts w:ascii="Wingdings" w:hAnsi="Wingdings" w:cs="Wingdings"/>
    </w:rPr>
  </w:style>
  <w:style w:type="character" w:styleId="WW8Num149z0">
    <w:name w:val="WW8Num149z0"/>
    <w:qFormat/>
    <w:rPr/>
  </w:style>
  <w:style w:type="character" w:styleId="WW8Num150z0">
    <w:name w:val="WW8Num150z0"/>
    <w:qFormat/>
    <w:rPr/>
  </w:style>
  <w:style w:type="character" w:styleId="WW8Num151z0">
    <w:name w:val="WW8Num151z0"/>
    <w:qFormat/>
    <w:rPr/>
  </w:style>
  <w:style w:type="character" w:styleId="WW8Num152z0">
    <w:name w:val="WW8Num152z0"/>
    <w:qFormat/>
    <w:rPr/>
  </w:style>
  <w:style w:type="character" w:styleId="WW8Num153z0">
    <w:name w:val="WW8Num153z0"/>
    <w:qFormat/>
    <w:rPr/>
  </w:style>
  <w:style w:type="character" w:styleId="WW8Num154z0">
    <w:name w:val="WW8Num154z0"/>
    <w:qFormat/>
    <w:rPr>
      <w:rFonts w:ascii="Symbol" w:hAnsi="Symbol" w:cs="Symbol"/>
    </w:rPr>
  </w:style>
  <w:style w:type="character" w:styleId="WW8Num154z1">
    <w:name w:val="WW8Num154z1"/>
    <w:qFormat/>
    <w:rPr>
      <w:rFonts w:ascii="Courier New" w:hAnsi="Courier New" w:cs="Courier New"/>
    </w:rPr>
  </w:style>
  <w:style w:type="character" w:styleId="WW8Num154z2">
    <w:name w:val="WW8Num154z2"/>
    <w:qFormat/>
    <w:rPr>
      <w:rFonts w:ascii="Wingdings" w:hAnsi="Wingdings" w:cs="Wingdings"/>
    </w:rPr>
  </w:style>
  <w:style w:type="character" w:styleId="WW8Num155z0">
    <w:name w:val="WW8Num155z0"/>
    <w:qFormat/>
    <w:rPr/>
  </w:style>
  <w:style w:type="character" w:styleId="WW8Num157z0">
    <w:name w:val="WW8Num157z0"/>
    <w:qFormat/>
    <w:rPr/>
  </w:style>
  <w:style w:type="character" w:styleId="WW8Num159z0">
    <w:name w:val="WW8Num159z0"/>
    <w:qFormat/>
    <w:rPr/>
  </w:style>
  <w:style w:type="character" w:styleId="WW8Num161z0">
    <w:name w:val="WW8Num161z0"/>
    <w:qFormat/>
    <w:rPr/>
  </w:style>
  <w:style w:type="character" w:styleId="WW8Num162z0">
    <w:name w:val="WW8Num162z0"/>
    <w:qFormat/>
    <w:rPr/>
  </w:style>
  <w:style w:type="character" w:styleId="WW8Num163z0">
    <w:name w:val="WW8Num163z0"/>
    <w:qFormat/>
    <w:rPr>
      <w:rFonts w:ascii="Symbol" w:hAnsi="Symbol" w:cs="Symbol"/>
    </w:rPr>
  </w:style>
  <w:style w:type="character" w:styleId="WW8Num163z1">
    <w:name w:val="WW8Num163z1"/>
    <w:qFormat/>
    <w:rPr>
      <w:rFonts w:ascii="Courier New" w:hAnsi="Courier New" w:cs="Courier New"/>
    </w:rPr>
  </w:style>
  <w:style w:type="character" w:styleId="WW8Num163z2">
    <w:name w:val="WW8Num163z2"/>
    <w:qFormat/>
    <w:rPr>
      <w:rFonts w:ascii="Wingdings" w:hAnsi="Wingdings" w:cs="Wingdings"/>
    </w:rPr>
  </w:style>
  <w:style w:type="character" w:styleId="WW8Num165z0">
    <w:name w:val="WW8Num165z0"/>
    <w:qFormat/>
    <w:rPr/>
  </w:style>
  <w:style w:type="character" w:styleId="WW8Num166z0">
    <w:name w:val="WW8Num166z0"/>
    <w:qFormat/>
    <w:rPr/>
  </w:style>
  <w:style w:type="character" w:styleId="WW8Num167z0">
    <w:name w:val="WW8Num167z0"/>
    <w:qFormat/>
    <w:rPr/>
  </w:style>
  <w:style w:type="character" w:styleId="WW8Num168z0">
    <w:name w:val="WW8Num168z0"/>
    <w:qFormat/>
    <w:rPr/>
  </w:style>
  <w:style w:type="character" w:styleId="WW8Num169z0">
    <w:name w:val="WW8Num169z0"/>
    <w:qFormat/>
    <w:rPr/>
  </w:style>
  <w:style w:type="character" w:styleId="WW8Num171z0">
    <w:name w:val="WW8Num171z0"/>
    <w:qFormat/>
    <w:rPr/>
  </w:style>
  <w:style w:type="character" w:styleId="WW8Num173z0">
    <w:name w:val="WW8Num173z0"/>
    <w:qFormat/>
    <w:rPr/>
  </w:style>
  <w:style w:type="character" w:styleId="WW8Num174z0">
    <w:name w:val="WW8Num174z0"/>
    <w:qFormat/>
    <w:rPr/>
  </w:style>
  <w:style w:type="character" w:styleId="WW8Num175z1">
    <w:name w:val="WW8Num175z1"/>
    <w:qFormat/>
    <w:rPr/>
  </w:style>
  <w:style w:type="character" w:styleId="WW8Num177z0">
    <w:name w:val="WW8Num177z0"/>
    <w:qFormat/>
    <w:rPr>
      <w:rFonts w:ascii="Symbol" w:hAnsi="Symbol" w:cs="Symbol"/>
    </w:rPr>
  </w:style>
  <w:style w:type="character" w:styleId="WW8Num177z1">
    <w:name w:val="WW8Num177z1"/>
    <w:qFormat/>
    <w:rPr>
      <w:rFonts w:ascii="Courier New" w:hAnsi="Courier New" w:cs="Courier New"/>
    </w:rPr>
  </w:style>
  <w:style w:type="character" w:styleId="WW8Num177z2">
    <w:name w:val="WW8Num177z2"/>
    <w:qFormat/>
    <w:rPr>
      <w:rFonts w:ascii="Wingdings" w:hAnsi="Wingdings" w:cs="Wingdings"/>
    </w:rPr>
  </w:style>
  <w:style w:type="character" w:styleId="WW8Num178z0">
    <w:name w:val="WW8Num178z0"/>
    <w:qFormat/>
    <w:rPr/>
  </w:style>
  <w:style w:type="character" w:styleId="WW8Num179z0">
    <w:name w:val="WW8Num179z0"/>
    <w:qFormat/>
    <w:rPr>
      <w:rFonts w:ascii="Symbol" w:hAnsi="Symbol" w:cs="Symbol"/>
    </w:rPr>
  </w:style>
  <w:style w:type="character" w:styleId="WW8Num179z1">
    <w:name w:val="WW8Num179z1"/>
    <w:qFormat/>
    <w:rPr>
      <w:rFonts w:ascii="Courier New" w:hAnsi="Courier New" w:cs="Courier New"/>
    </w:rPr>
  </w:style>
  <w:style w:type="character" w:styleId="WW8Num179z2">
    <w:name w:val="WW8Num179z2"/>
    <w:qFormat/>
    <w:rPr>
      <w:rFonts w:ascii="Wingdings" w:hAnsi="Wingdings" w:cs="Wingdings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0z1">
    <w:name w:val="WW8Num180z1"/>
    <w:qFormat/>
    <w:rPr>
      <w:rFonts w:ascii="Courier New" w:hAnsi="Courier New" w:cs="Courier New"/>
    </w:rPr>
  </w:style>
  <w:style w:type="character" w:styleId="WW8Num180z2">
    <w:name w:val="WW8Num180z2"/>
    <w:qFormat/>
    <w:rPr>
      <w:rFonts w:ascii="Wingdings" w:hAnsi="Wingdings" w:cs="Wingdings"/>
    </w:rPr>
  </w:style>
  <w:style w:type="character" w:styleId="WW8Num181z0">
    <w:name w:val="WW8Num181z0"/>
    <w:qFormat/>
    <w:rPr/>
  </w:style>
  <w:style w:type="character" w:styleId="WW8Num182z0">
    <w:name w:val="WW8Num182z0"/>
    <w:qFormat/>
    <w:rPr/>
  </w:style>
  <w:style w:type="character" w:styleId="WW8Num183z0">
    <w:name w:val="WW8Num183z0"/>
    <w:qFormat/>
    <w:rPr/>
  </w:style>
  <w:style w:type="character" w:styleId="WW8Num184z0">
    <w:name w:val="WW8Num184z0"/>
    <w:qFormat/>
    <w:rPr>
      <w:rFonts w:ascii="Symbol" w:hAnsi="Symbol" w:cs="Symbol"/>
    </w:rPr>
  </w:style>
  <w:style w:type="character" w:styleId="WW8Num185z0">
    <w:name w:val="WW8Num185z0"/>
    <w:qFormat/>
    <w:rPr>
      <w:rFonts w:ascii="Symbol" w:hAnsi="Symbol" w:cs="Symbol"/>
    </w:rPr>
  </w:style>
  <w:style w:type="character" w:styleId="WW8Num186z0">
    <w:name w:val="WW8Num186z0"/>
    <w:qFormat/>
    <w:rPr/>
  </w:style>
  <w:style w:type="character" w:styleId="WW8Num187z0">
    <w:name w:val="WW8Num187z0"/>
    <w:qFormat/>
    <w:rPr/>
  </w:style>
  <w:style w:type="character" w:styleId="WW8Num188z0">
    <w:name w:val="WW8Num188z0"/>
    <w:qFormat/>
    <w:rPr/>
  </w:style>
  <w:style w:type="character" w:styleId="WW8Num189z0">
    <w:name w:val="WW8Num189z0"/>
    <w:qFormat/>
    <w:rPr/>
  </w:style>
  <w:style w:type="character" w:styleId="WW8Num190z0">
    <w:name w:val="WW8Num190z0"/>
    <w:qFormat/>
    <w:rPr>
      <w:rFonts w:ascii="Symbol" w:hAnsi="Symbol" w:cs="Symbol"/>
    </w:rPr>
  </w:style>
  <w:style w:type="character" w:styleId="WW8Num190z1">
    <w:name w:val="WW8Num190z1"/>
    <w:qFormat/>
    <w:rPr>
      <w:rFonts w:ascii="Courier New" w:hAnsi="Courier New" w:cs="Courier New"/>
    </w:rPr>
  </w:style>
  <w:style w:type="character" w:styleId="WW8Num190z2">
    <w:name w:val="WW8Num190z2"/>
    <w:qFormat/>
    <w:rPr>
      <w:rFonts w:ascii="Wingdings" w:hAnsi="Wingdings" w:cs="Wingdings"/>
    </w:rPr>
  </w:style>
  <w:style w:type="character" w:styleId="WW8Num192z0">
    <w:name w:val="WW8Num192z0"/>
    <w:qFormat/>
    <w:rPr/>
  </w:style>
  <w:style w:type="character" w:styleId="WW8Num193z0">
    <w:name w:val="WW8Num193z0"/>
    <w:qFormat/>
    <w:rPr/>
  </w:style>
  <w:style w:type="character" w:styleId="WW8Num194z0">
    <w:name w:val="WW8Num194z0"/>
    <w:qFormat/>
    <w:rPr>
      <w:rFonts w:ascii="Symbol" w:hAnsi="Symbol" w:cs="Symbol"/>
    </w:rPr>
  </w:style>
  <w:style w:type="character" w:styleId="WW8Num194z1">
    <w:name w:val="WW8Num194z1"/>
    <w:qFormat/>
    <w:rPr/>
  </w:style>
  <w:style w:type="character" w:styleId="WW8Num195z0">
    <w:name w:val="WW8Num195z0"/>
    <w:qFormat/>
    <w:rPr/>
  </w:style>
  <w:style w:type="character" w:styleId="WW8Num196z0">
    <w:name w:val="WW8Num196z0"/>
    <w:qFormat/>
    <w:rPr/>
  </w:style>
  <w:style w:type="character" w:styleId="WW8Num197z0">
    <w:name w:val="WW8Num197z0"/>
    <w:qFormat/>
    <w:rPr>
      <w:rFonts w:ascii="Symbol" w:hAnsi="Symbol" w:cs="Symbol"/>
    </w:rPr>
  </w:style>
  <w:style w:type="character" w:styleId="WW8Num197z1">
    <w:name w:val="WW8Num197z1"/>
    <w:qFormat/>
    <w:rPr>
      <w:rFonts w:ascii="Courier New" w:hAnsi="Courier New" w:cs="Courier New"/>
    </w:rPr>
  </w:style>
  <w:style w:type="character" w:styleId="WW8Num197z2">
    <w:name w:val="WW8Num197z2"/>
    <w:qFormat/>
    <w:rPr>
      <w:rFonts w:ascii="Wingdings" w:hAnsi="Wingdings" w:cs="Wingdings"/>
    </w:rPr>
  </w:style>
  <w:style w:type="character" w:styleId="WW8Num198z0">
    <w:name w:val="WW8Num198z0"/>
    <w:qFormat/>
    <w:rPr/>
  </w:style>
  <w:style w:type="character" w:styleId="WW8Num199z0">
    <w:name w:val="WW8Num199z0"/>
    <w:qFormat/>
    <w:rPr/>
  </w:style>
  <w:style w:type="character" w:styleId="WW8Num200z0">
    <w:name w:val="WW8Num200z0"/>
    <w:qFormat/>
    <w:rPr/>
  </w:style>
  <w:style w:type="character" w:styleId="WW8Num202z0">
    <w:name w:val="WW8Num202z0"/>
    <w:qFormat/>
    <w:rPr/>
  </w:style>
  <w:style w:type="character" w:styleId="WW8Num204z0">
    <w:name w:val="WW8Num204z0"/>
    <w:qFormat/>
    <w:rPr>
      <w:rFonts w:ascii="Wingdings" w:hAnsi="Wingdings" w:cs="Wingdings"/>
    </w:rPr>
  </w:style>
  <w:style w:type="character" w:styleId="WW8Num204z1">
    <w:name w:val="WW8Num204z1"/>
    <w:qFormat/>
    <w:rPr>
      <w:rFonts w:ascii="Courier New" w:hAnsi="Courier New" w:cs="Courier New"/>
    </w:rPr>
  </w:style>
  <w:style w:type="character" w:styleId="WW8Num204z3">
    <w:name w:val="WW8Num204z3"/>
    <w:qFormat/>
    <w:rPr>
      <w:rFonts w:ascii="Symbol" w:hAnsi="Symbol" w:cs="Symbol"/>
    </w:rPr>
  </w:style>
  <w:style w:type="character" w:styleId="WW8Num205z0">
    <w:name w:val="WW8Num205z0"/>
    <w:qFormat/>
    <w:rPr/>
  </w:style>
  <w:style w:type="character" w:styleId="WW8Num206z0">
    <w:name w:val="WW8Num206z0"/>
    <w:qFormat/>
    <w:rPr/>
  </w:style>
  <w:style w:type="character" w:styleId="WW8Num207z0">
    <w:name w:val="WW8Num207z0"/>
    <w:qFormat/>
    <w:rPr/>
  </w:style>
  <w:style w:type="character" w:styleId="WW8Num208z0">
    <w:name w:val="WW8Num208z0"/>
    <w:qFormat/>
    <w:rPr/>
  </w:style>
  <w:style w:type="character" w:styleId="WW8Num209z0">
    <w:name w:val="WW8Num209z0"/>
    <w:qFormat/>
    <w:rPr/>
  </w:style>
  <w:style w:type="character" w:styleId="WW8Num211z0">
    <w:name w:val="WW8Num211z0"/>
    <w:qFormat/>
    <w:rPr/>
  </w:style>
  <w:style w:type="character" w:styleId="WW8Num212z0">
    <w:name w:val="WW8Num212z0"/>
    <w:qFormat/>
    <w:rPr>
      <w:rFonts w:ascii="Symbol" w:hAnsi="Symbol" w:cs="Symbol"/>
    </w:rPr>
  </w:style>
  <w:style w:type="character" w:styleId="WW8Num212z1">
    <w:name w:val="WW8Num212z1"/>
    <w:qFormat/>
    <w:rPr>
      <w:rFonts w:ascii="Courier New" w:hAnsi="Courier New" w:cs="Courier New"/>
    </w:rPr>
  </w:style>
  <w:style w:type="character" w:styleId="WW8Num212z2">
    <w:name w:val="WW8Num212z2"/>
    <w:qFormat/>
    <w:rPr>
      <w:rFonts w:ascii="Wingdings" w:hAnsi="Wingdings" w:cs="Wingdings"/>
    </w:rPr>
  </w:style>
  <w:style w:type="character" w:styleId="WW8Num213z0">
    <w:name w:val="WW8Num213z0"/>
    <w:qFormat/>
    <w:rPr/>
  </w:style>
  <w:style w:type="character" w:styleId="WW8Num214z1">
    <w:name w:val="WW8Num214z1"/>
    <w:qFormat/>
    <w:rPr>
      <w:rFonts w:ascii="Courier New" w:hAnsi="Courier New" w:cs="Courier New"/>
    </w:rPr>
  </w:style>
  <w:style w:type="character" w:styleId="WW8Num214z2">
    <w:name w:val="WW8Num214z2"/>
    <w:qFormat/>
    <w:rPr>
      <w:rFonts w:ascii="Wingdings" w:hAnsi="Wingdings" w:cs="Wingdings"/>
    </w:rPr>
  </w:style>
  <w:style w:type="character" w:styleId="WW8Num214z3">
    <w:name w:val="WW8Num214z3"/>
    <w:qFormat/>
    <w:rPr>
      <w:rFonts w:ascii="Symbol" w:hAnsi="Symbol" w:cs="Symbol"/>
    </w:rPr>
  </w:style>
  <w:style w:type="character" w:styleId="WW8Num215z0">
    <w:name w:val="WW8Num215z0"/>
    <w:qFormat/>
    <w:rPr/>
  </w:style>
  <w:style w:type="character" w:styleId="WW8Num216z0">
    <w:name w:val="WW8Num216z0"/>
    <w:qFormat/>
    <w:rPr/>
  </w:style>
  <w:style w:type="character" w:styleId="WW8Num217z0">
    <w:name w:val="WW8Num217z0"/>
    <w:qFormat/>
    <w:rPr>
      <w:rFonts w:ascii="Symbol" w:hAnsi="Symbol" w:cs="Symbol"/>
    </w:rPr>
  </w:style>
  <w:style w:type="character" w:styleId="WW8Num217z1">
    <w:name w:val="WW8Num217z1"/>
    <w:qFormat/>
    <w:rPr>
      <w:rFonts w:ascii="Courier New" w:hAnsi="Courier New" w:cs="Courier New"/>
    </w:rPr>
  </w:style>
  <w:style w:type="character" w:styleId="WW8Num217z2">
    <w:name w:val="WW8Num217z2"/>
    <w:qFormat/>
    <w:rPr>
      <w:rFonts w:ascii="Wingdings" w:hAnsi="Wingdings" w:cs="Wingdings"/>
    </w:rPr>
  </w:style>
  <w:style w:type="character" w:styleId="WW8Num218z0">
    <w:name w:val="WW8Num218z0"/>
    <w:qFormat/>
    <w:rPr/>
  </w:style>
  <w:style w:type="character" w:styleId="WW8Num221z0">
    <w:name w:val="WW8Num221z0"/>
    <w:qFormat/>
    <w:rPr/>
  </w:style>
  <w:style w:type="character" w:styleId="WW8Num222z0">
    <w:name w:val="WW8Num222z0"/>
    <w:qFormat/>
    <w:rPr/>
  </w:style>
  <w:style w:type="character" w:styleId="WW8Num223z0">
    <w:name w:val="WW8Num223z0"/>
    <w:qFormat/>
    <w:rPr/>
  </w:style>
  <w:style w:type="character" w:styleId="WW8Num224z0">
    <w:name w:val="WW8Num224z0"/>
    <w:qFormat/>
    <w:rPr/>
  </w:style>
  <w:style w:type="character" w:styleId="WW8Num225z0">
    <w:name w:val="WW8Num225z0"/>
    <w:qFormat/>
    <w:rPr/>
  </w:style>
  <w:style w:type="character" w:styleId="WW8Num226z0">
    <w:name w:val="WW8Num226z0"/>
    <w:qFormat/>
    <w:rPr/>
  </w:style>
  <w:style w:type="character" w:styleId="WW8Num227z0">
    <w:name w:val="WW8Num227z0"/>
    <w:qFormat/>
    <w:rPr/>
  </w:style>
  <w:style w:type="character" w:styleId="WW8Num228z0">
    <w:name w:val="WW8Num228z0"/>
    <w:qFormat/>
    <w:rPr/>
  </w:style>
  <w:style w:type="character" w:styleId="WW8Num229z0">
    <w:name w:val="WW8Num229z0"/>
    <w:qFormat/>
    <w:rPr/>
  </w:style>
  <w:style w:type="character" w:styleId="WW8Num230z0">
    <w:name w:val="WW8Num230z0"/>
    <w:qFormat/>
    <w:rPr>
      <w:rFonts w:ascii="Symbol" w:hAnsi="Symbol" w:cs="Symbol"/>
    </w:rPr>
  </w:style>
  <w:style w:type="character" w:styleId="WW8Num230z1">
    <w:name w:val="WW8Num230z1"/>
    <w:qFormat/>
    <w:rPr>
      <w:rFonts w:ascii="Courier New" w:hAnsi="Courier New" w:cs="Courier New"/>
    </w:rPr>
  </w:style>
  <w:style w:type="character" w:styleId="WW8Num230z2">
    <w:name w:val="WW8Num230z2"/>
    <w:qFormat/>
    <w:rPr>
      <w:rFonts w:ascii="Wingdings" w:hAnsi="Wingdings" w:cs="Wingdings"/>
    </w:rPr>
  </w:style>
  <w:style w:type="character" w:styleId="WW8Num232z0">
    <w:name w:val="WW8Num232z0"/>
    <w:qFormat/>
    <w:rPr/>
  </w:style>
  <w:style w:type="character" w:styleId="WW8Num233z0">
    <w:name w:val="WW8Num233z0"/>
    <w:qFormat/>
    <w:rPr/>
  </w:style>
  <w:style w:type="character" w:styleId="WW8Num236z0">
    <w:name w:val="WW8Num236z0"/>
    <w:qFormat/>
    <w:rPr/>
  </w:style>
  <w:style w:type="character" w:styleId="WW8Num238z0">
    <w:name w:val="WW8Num238z0"/>
    <w:qFormat/>
    <w:rPr/>
  </w:style>
  <w:style w:type="character" w:styleId="WW8Num239z0">
    <w:name w:val="WW8Num239z0"/>
    <w:qFormat/>
    <w:rPr/>
  </w:style>
  <w:style w:type="character" w:styleId="WW8Num240z0">
    <w:name w:val="WW8Num240z0"/>
    <w:qFormat/>
    <w:rPr/>
  </w:style>
  <w:style w:type="character" w:styleId="WW8Num241z0">
    <w:name w:val="WW8Num241z0"/>
    <w:qFormat/>
    <w:rPr/>
  </w:style>
  <w:style w:type="character" w:styleId="WW8Num242z0">
    <w:name w:val="WW8Num242z0"/>
    <w:qFormat/>
    <w:rPr/>
  </w:style>
  <w:style w:type="character" w:styleId="WW8Num243z0">
    <w:name w:val="WW8Num243z0"/>
    <w:qFormat/>
    <w:rPr>
      <w:rFonts w:ascii="Symbol" w:hAnsi="Symbol" w:cs="Symbol"/>
    </w:rPr>
  </w:style>
  <w:style w:type="character" w:styleId="WW8Num244z0">
    <w:name w:val="WW8Num244z0"/>
    <w:qFormat/>
    <w:rPr>
      <w:rFonts w:ascii="Symbol" w:hAnsi="Symbol" w:cs="Symbol"/>
    </w:rPr>
  </w:style>
  <w:style w:type="character" w:styleId="WW8Num244z1">
    <w:name w:val="WW8Num244z1"/>
    <w:qFormat/>
    <w:rPr>
      <w:rFonts w:ascii="Courier New" w:hAnsi="Courier New" w:cs="Courier New"/>
    </w:rPr>
  </w:style>
  <w:style w:type="character" w:styleId="WW8Num244z2">
    <w:name w:val="WW8Num244z2"/>
    <w:qFormat/>
    <w:rPr>
      <w:rFonts w:ascii="Wingdings" w:hAnsi="Wingdings" w:cs="Wingdings"/>
    </w:rPr>
  </w:style>
  <w:style w:type="character" w:styleId="WW8Num246z0">
    <w:name w:val="WW8Num246z0"/>
    <w:qFormat/>
    <w:rPr/>
  </w:style>
  <w:style w:type="character" w:styleId="WW8Num249z0">
    <w:name w:val="WW8Num249z0"/>
    <w:qFormat/>
    <w:rPr>
      <w:rFonts w:ascii="Symbol" w:hAnsi="Symbol" w:cs="Symbol"/>
    </w:rPr>
  </w:style>
  <w:style w:type="character" w:styleId="WW8Num250z0">
    <w:name w:val="WW8Num250z0"/>
    <w:qFormat/>
    <w:rPr/>
  </w:style>
  <w:style w:type="character" w:styleId="WW8Num251z0">
    <w:name w:val="WW8Num251z0"/>
    <w:qFormat/>
    <w:rPr/>
  </w:style>
  <w:style w:type="character" w:styleId="WW8Num252z0">
    <w:name w:val="WW8Num252z0"/>
    <w:qFormat/>
    <w:rPr/>
  </w:style>
  <w:style w:type="character" w:styleId="WW8Num254z0">
    <w:name w:val="WW8Num254z0"/>
    <w:qFormat/>
    <w:rPr>
      <w:rFonts w:ascii="Symbol" w:hAnsi="Symbol" w:cs="Symbol"/>
    </w:rPr>
  </w:style>
  <w:style w:type="character" w:styleId="WW8Num254z1">
    <w:name w:val="WW8Num254z1"/>
    <w:qFormat/>
    <w:rPr>
      <w:rFonts w:ascii="Courier New" w:hAnsi="Courier New" w:cs="Courier New"/>
    </w:rPr>
  </w:style>
  <w:style w:type="character" w:styleId="WW8Num254z2">
    <w:name w:val="WW8Num25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ailStyle20">
    <w:name w:val="EmailStyle20"/>
    <w:basedOn w:val="DefaultParagraphFont"/>
    <w:qFormat/>
    <w:rPr>
      <w:rFonts w:ascii="Arial" w:hAnsi="Arial" w:cs="Arial"/>
      <w:color w:val="000080"/>
      <w:sz w:val="20"/>
      <w:szCs w:val="20"/>
    </w:rPr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paragraph" w:styleId="Heading">
    <w:name w:val="Heading"/>
    <w:basedOn w:val="Heading1"/>
    <w:next w:val="BodyText"/>
    <w:qFormat/>
    <w:pPr>
      <w:numPr>
        <w:ilvl w:val="0"/>
        <w:numId w:val="0"/>
      </w:numPr>
      <w:spacing w:before="0" w:after="0"/>
      <w:outlineLvl w:val="9"/>
    </w:pPr>
    <w:rPr/>
  </w:style>
  <w:style w:type="paragraph" w:styleId="BodyText">
    <w:name w:val="Body Text"/>
    <w:basedOn w:val="Normal"/>
    <w:pPr>
      <w:spacing w:before="0" w:after="0"/>
      <w:jc w:val="both"/>
    </w:pPr>
    <w:rPr/>
  </w:style>
  <w:style w:type="paragraph" w:styleId="List">
    <w:name w:val="List"/>
    <w:basedOn w:val="Normal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  <w:tab w:val="right" w:pos="9000" w:leader="none"/>
      </w:tabs>
      <w:spacing w:before="0" w:after="0"/>
    </w:pPr>
    <w:rPr/>
  </w:style>
  <w:style w:type="paragraph" w:styleId="FootnoteText">
    <w:name w:val="footnote text"/>
    <w:basedOn w:val="Normal"/>
    <w:pPr>
      <w:ind w:hanging="360" w:start="36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ubList">
    <w:name w:val="SubList"/>
    <w:basedOn w:val="List"/>
    <w:qFormat/>
    <w:pPr>
      <w:ind w:hanging="360" w:start="1440" w:end="0"/>
    </w:pPr>
    <w:rPr/>
  </w:style>
  <w:style w:type="paragraph" w:styleId="Subject">
    <w:name w:val="Subject"/>
    <w:basedOn w:val="Normal"/>
    <w:qFormat/>
    <w:pPr/>
    <w:rPr/>
  </w:style>
  <w:style w:type="paragraph" w:styleId="Date">
    <w:name w:val="Date"/>
    <w:basedOn w:val="Normal"/>
    <w:qFormat/>
    <w:pPr/>
    <w:rPr/>
  </w:style>
  <w:style w:type="paragraph" w:styleId="To">
    <w:name w:val="To"/>
    <w:basedOn w:val="Normal"/>
    <w:qFormat/>
    <w:pPr/>
    <w:rPr/>
  </w:style>
  <w:style w:type="paragraph" w:styleId="From">
    <w:name w:val="From"/>
    <w:basedOn w:val="Normal"/>
    <w:qFormat/>
    <w:pPr/>
    <w:rPr/>
  </w:style>
  <w:style w:type="paragraph" w:styleId="Closed">
    <w:name w:val="Closed"/>
    <w:basedOn w:val="Normal"/>
    <w:qFormat/>
    <w:pPr>
      <w:spacing w:before="0" w:after="0"/>
    </w:pPr>
    <w:rPr/>
  </w:style>
  <w:style w:type="paragraph" w:styleId="CopyList">
    <w:name w:val="CopyList"/>
    <w:basedOn w:val="Normal"/>
    <w:qFormat/>
    <w:pPr>
      <w:tabs>
        <w:tab w:val="clear" w:pos="720"/>
        <w:tab w:val="left" w:pos="504" w:leader="none"/>
      </w:tabs>
      <w:spacing w:before="360" w:after="0"/>
      <w:ind w:hanging="504" w:start="504" w:end="0"/>
    </w:pPr>
    <w:rPr/>
  </w:style>
  <w:style w:type="paragraph" w:styleId="BodyTextIndent">
    <w:name w:val="Body Text Indent"/>
    <w:basedOn w:val="Normal"/>
    <w:pPr>
      <w:spacing w:before="0" w:after="0"/>
      <w:ind w:hanging="0" w:start="810" w:end="0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-720" w:leader="none"/>
      </w:tabs>
      <w:suppressAutoHyphens w:val="true"/>
      <w:ind w:hanging="0" w:start="720" w:end="0"/>
      <w:jc w:val="both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-720" w:leader="none"/>
      </w:tabs>
      <w:suppressAutoHyphens w:val="true"/>
      <w:ind w:hanging="0" w:start="990" w:end="0"/>
      <w:jc w:val="both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spacing w:before="0" w:after="0"/>
    </w:pPr>
    <w:rPr>
      <w:sz w:val="16"/>
    </w:rPr>
  </w:style>
  <w:style w:type="paragraph" w:styleId="BodyText3">
    <w:name w:val="Body Text 3"/>
    <w:basedOn w:val="Normal"/>
    <w:qFormat/>
    <w:pPr>
      <w:spacing w:before="0" w:after="0"/>
    </w:pPr>
    <w:rPr>
      <w:color w:val="000080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PlainText">
    <w:name w:val="Plain Text"/>
    <w:basedOn w:val="Normal"/>
    <w:qFormat/>
    <w:pPr>
      <w:spacing w:before="0" w:after="0"/>
    </w:pPr>
    <w:rPr>
      <w:rFonts w:ascii="Courier New" w:hAnsi="Courier New" w:cs="Courier New"/>
    </w:rPr>
  </w:style>
  <w:style w:type="paragraph" w:styleId="TableText">
    <w:name w:val="Table Text"/>
    <w:qFormat/>
    <w:pPr>
      <w:widowControl/>
      <w:bidi w:val="0"/>
      <w:spacing w:before="60" w:after="60"/>
      <w:ind w:hanging="230" w:start="230" w:end="0"/>
    </w:pPr>
    <w:rPr>
      <w:rFonts w:ascii="Arial" w:hAnsi="Arial" w:eastAsia="Times New Roman" w:cs="Arial"/>
      <w:color w:val="auto"/>
      <w:sz w:val="16"/>
      <w:szCs w:val="20"/>
      <w:lang w:val="en-US" w:bidi="ar-SA" w:eastAsia="zh-CN"/>
    </w:rPr>
  </w:style>
  <w:style w:type="paragraph" w:styleId="TableHeader">
    <w:name w:val="Table Header"/>
    <w:basedOn w:val="Normal"/>
    <w:qFormat/>
    <w:pPr>
      <w:spacing w:before="40" w:after="40"/>
    </w:pPr>
    <w:rPr>
      <w:b/>
      <w:sz w:val="22"/>
    </w:rPr>
  </w:style>
  <w:style w:type="paragraph" w:styleId="CommentText">
    <w:name w:val="Comment Text"/>
    <w:basedOn w:val="Normal"/>
    <w:qFormat/>
    <w:pPr>
      <w:spacing w:before="0" w:after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comments" Target="comment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EIMEMO.DOT</Template>
  <TotalTime>459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2001-11-14T18:41:00Z</dcterms:created>
  <dc:creator>EDC</dc:creator>
  <dc:description/>
  <dc:language>en-CA</dc:language>
  <cp:lastModifiedBy>aibrahi</cp:lastModifiedBy>
  <cp:lastPrinted>2001-11-15T08:46:00Z</cp:lastPrinted>
  <dcterms:modified xsi:type="dcterms:W3CDTF">2001-11-15T18:57:00Z</dcterms:modified>
  <cp:revision>7</cp:revision>
  <dc:subject/>
  <dc:title>Enron International Memo</dc:title>
</cp:coreProperties>
</file>