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December 15, 2000</w:t>
      </w:r>
    </w:p>
    <w:p>
      <w:pPr>
        <w:pStyle w:val="Normal"/>
        <w:jc w:val="end"/>
        <w:rPr/>
      </w:pPr>
      <w:r>
        <w:rPr/>
      </w:r>
    </w:p>
    <w:p>
      <w:pPr>
        <w:pStyle w:val="Normal"/>
        <w:jc w:val="end"/>
        <w:rPr/>
      </w:pPr>
      <w:r>
        <w:rPr/>
      </w:r>
    </w:p>
    <w:p>
      <w:pPr>
        <w:pStyle w:val="Normal"/>
        <w:jc w:val="center"/>
        <w:rPr/>
      </w:pPr>
      <w:r>
        <mc:AlternateContent>
          <mc:Choice Requires="wps">
            <w:drawing>
              <wp:anchor behindDoc="0" distT="0" distB="0" distL="114935" distR="114935" simplePos="0" locked="0" layoutInCell="1" allowOverlap="1" relativeHeight="11">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t xml:space="preserve">REMOVAL OF THE CALIFORNIA WHOLESALE ELECTRICITY SALES </w:t>
      </w:r>
    </w:p>
    <w:p>
      <w:pPr>
        <w:pStyle w:val="Normal"/>
        <w:jc w:val="center"/>
        <w:rPr/>
      </w:pPr>
      <w:r>
        <w:rPr/>
        <w:t>CLASS ACTIONS BASED ON FEDERAL QUESTION JURISDICTION</w:t>
        <w:br/>
      </w:r>
    </w:p>
    <w:p>
      <w:pPr>
        <w:pStyle w:val="BodyTextStyle"/>
        <w:rPr/>
      </w:pPr>
      <w:r>
        <w:rPr/>
        <w:t>The two complaints that have been filed so far (</w:t>
      </w:r>
      <w:r>
        <w:rPr>
          <w:u w:val="single"/>
        </w:rPr>
        <w:t>Gordon</w:t>
      </w:r>
      <w:r>
        <w:rPr/>
        <w:t xml:space="preserve"> and </w:t>
      </w:r>
      <w:r>
        <w:rPr>
          <w:u w:val="single"/>
        </w:rPr>
        <w:t>Hendricks</w:t>
      </w:r>
      <w:r>
        <w:rPr/>
        <w:t xml:space="preserve">) seek to recover, under the Cartwright Act and other California statutes, alleged overcharges by the defendant wholesalers to California utilities which were passed on to consumers.  The alleged wrongdoing consists in substance of an alleged conspiracy to fix prices and restrict the supply of electricity.  </w:t>
      </w:r>
    </w:p>
    <w:p>
      <w:pPr>
        <w:pStyle w:val="BodyTextStyle"/>
        <w:rPr/>
      </w:pPr>
      <w:r>
        <w:rPr/>
        <w:t xml:space="preserve">Under the Federal Power Act, any wholesale rate, such as those which plaintiffs challenge, is unlawful if it is not “just and reasonable” under the Act’s criteria.  There is exclusive federal jurisdiction (assigned to FERC, subject to Court of Appeals review) to determine whether wholesale power rates are just and reasonable.  Sections 205 and 206, 16 U.S.C. §§ 824d, 824e; </w:t>
      </w:r>
      <w:r>
        <w:rPr>
          <w:u w:val="single"/>
        </w:rPr>
        <w:t>see</w:t>
      </w:r>
      <w:r>
        <w:rPr/>
        <w:t xml:space="preserve">, </w:t>
      </w:r>
      <w:r>
        <w:rPr>
          <w:u w:val="single"/>
        </w:rPr>
        <w:t>e.g.</w:t>
      </w:r>
      <w:r>
        <w:rPr/>
        <w:t xml:space="preserve">, </w:t>
      </w:r>
      <w:r>
        <w:rPr>
          <w:u w:val="single"/>
        </w:rPr>
        <w:t>Arkansas Louisiana Gas Co. v. Hall</w:t>
      </w:r>
      <w:r>
        <w:rPr/>
        <w:t>, 453 U.S. 571, 577 (1981) (“</w:t>
      </w:r>
      <w:r>
        <w:rPr>
          <w:u w:val="single"/>
        </w:rPr>
        <w:t>Arkla</w:t>
      </w:r>
      <w:r>
        <w:rPr/>
        <w:t xml:space="preserve">”).  Unless and until there is a negative determination by FERC, the wholesale supplier must charge the rates specified in its approved or accepted tariffs, and under the filed rate doctrine no court, state or federal, can impose any different rate by way of damages or otherwise.  </w:t>
      </w:r>
      <w:r>
        <w:rPr>
          <w:u w:val="single"/>
        </w:rPr>
        <w:t>Id.</w:t>
      </w:r>
      <w:r>
        <w:rPr/>
        <w:t xml:space="preserve"> at 577-80; </w:t>
      </w:r>
      <w:r>
        <w:rPr>
          <w:u w:val="single"/>
        </w:rPr>
        <w:t>see</w:t>
      </w:r>
      <w:r>
        <w:rPr/>
        <w:t xml:space="preserve"> </w:t>
      </w:r>
      <w:r>
        <w:rPr>
          <w:u w:val="single"/>
        </w:rPr>
        <w:t>also</w:t>
      </w:r>
      <w:r>
        <w:rPr/>
        <w:t xml:space="preserve"> </w:t>
      </w:r>
      <w:r>
        <w:rPr>
          <w:u w:val="single"/>
        </w:rPr>
        <w:t>Nantahala Power &amp; Light Co. v. Thornburg</w:t>
      </w:r>
      <w:r>
        <w:rPr/>
        <w:t>, 476 U.S. 953 (1986).</w:t>
      </w:r>
      <w:r>
        <w:rPr>
          <w:rStyle w:val="FootnoteCharacters"/>
          <w:rStyle w:val="FootnoteReference"/>
        </w:rPr>
        <w:footnoteReference w:id="2"/>
      </w:r>
      <w:r>
        <w:rPr/>
        <w:t xml:space="preserve">  There is no federal cause of action for rate overcharges apart from the FERC remedies available under sections 205 and 206,</w:t>
      </w:r>
      <w:r>
        <w:rPr>
          <w:rStyle w:val="FootnoteCharacters"/>
          <w:rStyle w:val="FootnoteReference"/>
        </w:rPr>
        <w:footnoteReference w:id="3"/>
      </w:r>
      <w:r>
        <w:rPr/>
        <w:t xml:space="preserve"> but Section 317 of the Act provides categorically that federal district courts “shall have exclusive jurisdiction of violations of [the Act] or the rules, regulations and orders thereunder, and of all suits in equity and actions at law brought to enforce any liability or duty created [thereby].” 16 U.S.C. § 825p. </w:t>
      </w:r>
    </w:p>
    <w:p>
      <w:pPr>
        <w:pStyle w:val="BodyTextStyle"/>
        <w:rPr/>
      </w:pPr>
      <w:r>
        <w:rPr/>
        <w:t xml:space="preserve">As the following discussion will show, there are strong arguments for removal of the </w:t>
      </w:r>
      <w:r>
        <w:rPr>
          <w:u w:val="single"/>
        </w:rPr>
        <w:t>Gordon</w:t>
      </w:r>
      <w:r>
        <w:rPr/>
        <w:t xml:space="preserve"> and </w:t>
      </w:r>
      <w:r>
        <w:rPr>
          <w:u w:val="single"/>
        </w:rPr>
        <w:t>Hendricks</w:t>
      </w:r>
      <w:r>
        <w:rPr/>
        <w:t xml:space="preserve"> claims.  In particular, there are two recent Ninth Circuit decisions that provide straightforward authority for removal of both cases on the ground that the statutory scheme, and especially the exclusive jurisdiction provision of section 317, make any claim to recover payments made under FERC tariffs “inherently federal.”</w:t>
      </w:r>
      <w:r>
        <w:rPr>
          <w:rStyle w:val="FootnoteCharacters"/>
          <w:rStyle w:val="FootnoteReference"/>
        </w:rPr>
        <w:footnoteReference w:id="4"/>
      </w:r>
      <w:r>
        <w:rPr/>
        <w:t xml:space="preserve">  Both of these precedents placed strong emphasis on the existence of similar comprehensive grants of exclusive federal jurisdiction, finding removal </w:t>
      </w:r>
      <w:r>
        <w:rPr>
          <w:u w:val="single"/>
        </w:rPr>
        <w:t>jurisdiction</w:t>
      </w:r>
      <w:r>
        <w:rPr/>
        <w:t xml:space="preserve"> notwithstanding the absence (as here) of any private cause of action to obtain a </w:t>
      </w:r>
      <w:r>
        <w:rPr>
          <w:u w:val="single"/>
        </w:rPr>
        <w:t>remedy</w:t>
      </w:r>
      <w:r>
        <w:rPr/>
        <w:t xml:space="preserve"> under the regulatory statute.  These specific Ninth Circuit precedents permit the defendants to make a relatively simple and straightforward removal argument which has a good chance of adoption by the federal court in view of the obvious policy reasons for having a federal rather than state determination of the lawfulness of wholesale electric rates. </w:t>
      </w:r>
    </w:p>
    <w:p>
      <w:pPr>
        <w:pStyle w:val="BodyTextStyle"/>
        <w:rPr/>
      </w:pPr>
      <w:r>
        <w:rPr/>
        <w:t xml:space="preserve">Under the “complete preemption” doctrine, a federal statutory scheme may “so completely pre-empt a particular area that any civil complaint raising this select group of claims is necessarily federal in character” and therefore removable as a claim arising under federal law even if the complaint does not mention federal law.  </w:t>
      </w:r>
      <w:r>
        <w:rPr>
          <w:u w:val="single"/>
        </w:rPr>
        <w:t>Metropolitan Life Ins. Co. v. Taylor</w:t>
      </w:r>
      <w:r>
        <w:rPr/>
        <w:t xml:space="preserve">, 481 U.S. 58, 63-64 (1987).  The Supreme Court has applied the complete preemption doctrine to cases concerning collective bargaining contracts, matters within the coverage of ERISA, and Indian land treaties.  </w:t>
      </w:r>
    </w:p>
    <w:p>
      <w:pPr>
        <w:pStyle w:val="BodyTextStyle"/>
        <w:rPr/>
      </w:pPr>
      <w:r>
        <w:rPr/>
        <w:t xml:space="preserve">In </w:t>
      </w:r>
      <w:r>
        <w:rPr>
          <w:u w:val="single"/>
        </w:rPr>
        <w:t>Avco Corp. v. Aero Lodge No. 735</w:t>
      </w:r>
      <w:r>
        <w:rPr/>
        <w:t xml:space="preserve">, 390 U.S. 557 (1968), the Court allowed removal of a claim seeking to enjoin a union and its members from striking based on a “no-strike” clause in the collective bargaining agreement which provided for binding arbitration of grievances.  The Court held that the claim was one arising under Section 301 of the Labor Management Relations Act, 29 U.S.C. § 185, notwithstanding its articulation in purely state law terms, because any such claim “is controlled by federal substantive law.”  </w:t>
      </w:r>
      <w:r>
        <w:rPr>
          <w:u w:val="single"/>
        </w:rPr>
        <w:t>Id.</w:t>
      </w:r>
      <w:r>
        <w:rPr/>
        <w:t xml:space="preserve"> at 560.  The district court’s denial of the motion to remand and its dissolution of an injunction entered by the state court were both affirmed. </w:t>
      </w:r>
    </w:p>
    <w:p>
      <w:pPr>
        <w:pStyle w:val="BodyTextStyle"/>
        <w:rPr/>
      </w:pPr>
      <w:r>
        <w:rPr/>
        <w:t xml:space="preserve">In </w:t>
      </w:r>
      <w:r>
        <w:rPr>
          <w:u w:val="single"/>
        </w:rPr>
        <w:t>Metropolitan Life Ins. Co. v. Taylor</w:t>
      </w:r>
      <w:r>
        <w:rPr/>
        <w:t xml:space="preserve">, the Court allowed removal of state contract and tort claims seeking recovery of employee benefits, answering in the affirmative “[t]he question . . . whether these state common law claims are not only pre-empted by ERISA, but also displaced by ERISA’s civil enforcement provision, § 502(a)(1)(B),” which gives the federal courts exclusive jurisdiction over claims to recover benefits.  481 U.S at 60 &amp; n.1. </w:t>
      </w:r>
    </w:p>
    <w:p>
      <w:pPr>
        <w:pStyle w:val="BodyTextStyle"/>
        <w:rPr/>
      </w:pPr>
      <w:r>
        <w:rPr/>
        <w:t xml:space="preserve">The Supreme Court’s most recent articulation of the doctrine is in </w:t>
      </w:r>
      <w:r>
        <w:rPr>
          <w:u w:val="single"/>
        </w:rPr>
        <w:t>Rivet v. Regions Bank</w:t>
      </w:r>
      <w:r>
        <w:rPr/>
        <w:t>, 522 U.S. 470, 475 (1998), which held (contrary to the previous rule in the Ninth Circuit) that the existence of a prior federal judgment precluding a state court claim is not a basis for removal.  The pertinent language is as follows:</w:t>
      </w:r>
    </w:p>
    <w:p>
      <w:pPr>
        <w:pStyle w:val="BlockQuote"/>
        <w:rPr/>
      </w:pPr>
      <w:r>
        <w:rPr/>
        <w:t xml:space="preserve">Allied as an “independent corollary” to the well-pleaded complaint rule is the further principle that “a plaintiff may not defeat removal by omitting to plead necessary federal questions.” . . .  If a court concludes that a plaintiff has "artfully pleaded" claims in this fashion, it may uphold removal even though no federal question appears on the face of the plaintiff's complaint.  The artful pleading doctrine allows removal where federal law completely preempts a plaintiff's state-law claim.  [Citing </w:t>
      </w:r>
      <w:r>
        <w:rPr>
          <w:u w:val="single"/>
        </w:rPr>
        <w:t>Avco</w:t>
      </w:r>
      <w:r>
        <w:rPr/>
        <w:t xml:space="preserve"> and </w:t>
      </w:r>
      <w:r>
        <w:rPr>
          <w:u w:val="single"/>
        </w:rPr>
        <w:t>Metropolitan Life</w:t>
      </w:r>
      <w:r>
        <w:rPr/>
        <w:t xml:space="preserve">]  Although federal preemption is ordinarily a defense, “[o]nce an area of state law has been completely pre-empted, any claim purportedly based on that pre-empted state-law claim is considered, from its inception, a federal claim, and therefore arises under federal law.” </w:t>
      </w:r>
    </w:p>
    <w:p>
      <w:pPr>
        <w:pStyle w:val="BodyTextStyle"/>
        <w:rPr/>
      </w:pPr>
      <w:r>
        <w:rPr/>
        <w:t xml:space="preserve">In </w:t>
      </w:r>
      <w:r>
        <w:rPr>
          <w:u w:val="single"/>
        </w:rPr>
        <w:t>North American Philips Corp. v. Emery Air Freight Corp.</w:t>
      </w:r>
      <w:r>
        <w:rPr/>
        <w:t xml:space="preserve">, 579 F.2d 229 (2d Cir. 1978), the Second Circuit allowed removal of a suit against an airline for loss of goods in transit on the theory that “Congress has created a broad, comprehensive scheme covering the interstate shipment of freight . . .   This has occupied the field to the exclusion of state law.”  More recently, Judge Posner’s opinion in </w:t>
      </w:r>
      <w:r>
        <w:rPr>
          <w:u w:val="single"/>
        </w:rPr>
        <w:t>Cahnmann v. Sprint Corp.</w:t>
      </w:r>
      <w:r>
        <w:rPr/>
        <w:t xml:space="preserve">, 133 F.3d 484 (7th Cir 1998), affirmed removal in an analogous situation under the common carrier provisions of the Communications Act.  The plaintiffs there claimed that Sprint had broken the contract it made in signing them up for long distance rates, and committed fraud, by amending its tariff to raise certain rates.  The court rejected plaintiffs’ argument that the tariff would come in only by way of defense, holding that “[a] tariff filed with a federal agency is the equivalent of a federal regulation, . . . and so a suit to enforce it, and even more clearly a suit to invalidate it . . . arise under federal law.”  </w:t>
      </w:r>
      <w:r>
        <w:rPr>
          <w:u w:val="single"/>
        </w:rPr>
        <w:t>Id.</w:t>
      </w:r>
      <w:r>
        <w:rPr/>
        <w:t xml:space="preserve"> at 488.</w:t>
      </w:r>
    </w:p>
    <w:p>
      <w:pPr>
        <w:pStyle w:val="BlockQuote"/>
        <w:rPr/>
      </w:pPr>
      <w:r>
        <w:rPr/>
        <w:t>[S]ince the federal regulation defines the entire contractual relation between the parties, there is no contractual undertaking left over that state law might enforce.  Federal law does not merely create a right; it occupies the whole field, displacing state law.  [</w:t>
      </w:r>
      <w:r>
        <w:rPr>
          <w:u w:val="single"/>
        </w:rPr>
        <w:t>Id.</w:t>
      </w:r>
      <w:r>
        <w:rPr/>
        <w:t xml:space="preserve"> at 489]</w:t>
      </w:r>
    </w:p>
    <w:p>
      <w:pPr>
        <w:pStyle w:val="BlockQuote"/>
        <w:rPr>
          <w:u w:val="single"/>
        </w:rPr>
      </w:pPr>
      <w:r>
        <w:rPr/>
        <w:t>If a claim can arise only under federal law, because federal law has extinguished the state law basis under which it might otherwise arise, the case is removable to federal court even if the plaintiff sedulously avoids mention of federal law in his complaint.  [</w:t>
      </w:r>
      <w:r>
        <w:rPr>
          <w:u w:val="single"/>
        </w:rPr>
        <w:t>Id.</w:t>
      </w:r>
      <w:r>
        <w:rPr/>
        <w:t xml:space="preserve"> at 490]</w:t>
      </w:r>
    </w:p>
    <w:p>
      <w:pPr>
        <w:pStyle w:val="LeftAlign2"/>
        <w:rPr/>
      </w:pPr>
      <w:r>
        <w:rPr/>
        <w:t xml:space="preserve">In </w:t>
      </w:r>
      <w:r>
        <w:rPr>
          <w:u w:val="single"/>
        </w:rPr>
        <w:t>Bastien v. AT&amp;T Wireless Services, Inc.</w:t>
      </w:r>
      <w:r>
        <w:rPr/>
        <w:t xml:space="preserve">, 205 F.3d 983 (7th Cir. 2000), the same court allowed removal of a consumer’s breach of contract and consumer fraud claims relating to the quality of cellular service because, “although fashioned in terms of state law actions, [the complaint] actually challenges the rates and level of service offered by AT&amp;T Wireless, an area specifically reserved to federal regulation.”  </w:t>
      </w:r>
      <w:r>
        <w:rPr>
          <w:u w:val="single"/>
        </w:rPr>
        <w:t>Id.</w:t>
      </w:r>
      <w:r>
        <w:rPr/>
        <w:t xml:space="preserve"> at 990.  </w:t>
      </w:r>
    </w:p>
    <w:p>
      <w:pPr>
        <w:pStyle w:val="BodyTextStyle"/>
        <w:rPr/>
      </w:pPr>
      <w:r>
        <w:rPr/>
        <w:t xml:space="preserve">The Seventh Circuit’s reasoning in </w:t>
      </w:r>
      <w:r>
        <w:rPr>
          <w:u w:val="single"/>
        </w:rPr>
        <w:t>Cahnmann</w:t>
      </w:r>
      <w:r>
        <w:rPr/>
        <w:t xml:space="preserve"> and </w:t>
      </w:r>
      <w:r>
        <w:rPr>
          <w:u w:val="single"/>
        </w:rPr>
        <w:t>Bastien</w:t>
      </w:r>
      <w:r>
        <w:rPr/>
        <w:t xml:space="preserve"> and the principles stated in the Supreme Court cases permit a strong argument that any state-law claim is completely preempted by the federal scheme for regulation of wholesale electricity rates, including section 317’s express reservation of exclusive jurisdiction in the federal courts over any lawsuit that might be brought under the Federal Power Act.  While any federal court claim would in our view be barred (like any state court claim) by the filed rate doctrine and the Act’s limitation upon refunds, that does not detract from the exclusiveness of the statutory scheme, in which any attempt to challenge jurisdictional rates must be made under the Federal Power Act and any lawsuit that anyone might attempt to bring under the Act must be filed in federal court.  Plaintiffs’ claims would fail in federal court not for a lack of threshold jurisdiction, but rather because there are substantive barriers to the remedy they seek.  Thus, the absence of an express claim under the Federal Power Act as such does not make a case any the less federal since here, as in the complete preemption precedents, there is simply no room for even initiating a state claim. </w:t>
      </w:r>
    </w:p>
    <w:p>
      <w:pPr>
        <w:pStyle w:val="BodyTextStyle"/>
        <w:rPr/>
      </w:pPr>
      <w:r>
        <w:rPr/>
        <w:t xml:space="preserve">The Courts commonly allow removal of cases which are immediately rejected as a matter of law.  This was the case in </w:t>
      </w:r>
      <w:r>
        <w:rPr>
          <w:u w:val="single"/>
        </w:rPr>
        <w:t>Avco</w:t>
      </w:r>
      <w:r>
        <w:rPr/>
        <w:t xml:space="preserve">, where the complaint was dismissed under the Norris-LaGuardia Act upon removal; the Supreme Court noted that “[t]he nature of the relief available after jurisdiction attaches is, of course, different from the question whether there is jurisdiction to adjudicate.”  390 U.S. at 561.  The preemption found in </w:t>
      </w:r>
      <w:r>
        <w:rPr>
          <w:u w:val="single"/>
        </w:rPr>
        <w:t xml:space="preserve">Cahnmann </w:t>
      </w:r>
      <w:r>
        <w:rPr/>
        <w:t xml:space="preserve">and </w:t>
      </w:r>
      <w:r>
        <w:rPr>
          <w:u w:val="single"/>
        </w:rPr>
        <w:t>Bastien</w:t>
      </w:r>
      <w:r>
        <w:rPr/>
        <w:t xml:space="preserve"> was based on the FCC’s regulatory authority without reference to any possibility of pursuing a claim in federal court.  Other cases allowing removal of claims doomed to dismissal are described in the discussion that follows.</w:t>
      </w:r>
      <w:r>
        <w:rPr>
          <w:rStyle w:val="FootnoteCharacters"/>
          <w:rStyle w:val="FootnoteReference"/>
        </w:rPr>
        <w:footnoteReference w:id="5"/>
      </w:r>
      <w:r>
        <w:rPr/>
        <w:t xml:space="preserve">  </w:t>
      </w:r>
    </w:p>
    <w:p>
      <w:pPr>
        <w:pStyle w:val="BodyTextStyle"/>
        <w:rPr/>
      </w:pPr>
      <w:r>
        <w:rPr/>
        <w:t xml:space="preserve">Thus, there is a strong basis for arguing complete preemption.  It may, however, be better to emphasize a closely related variant of the “artful pleading” doctrine that the Ninth Circuit has recognized in at least two very recent cases.  In </w:t>
      </w:r>
      <w:r>
        <w:rPr>
          <w:u w:val="single"/>
        </w:rPr>
        <w:t>Arco Environmental Remediation, L.L.C. v. Department of Health and Environmental Quality</w:t>
      </w:r>
      <w:r>
        <w:rPr/>
        <w:t>, 213 F.3d 1108 (9th Cir. 2000), the Ninth Circuit posited the following three subcategories of the “artful pleading” doctrine:</w:t>
      </w:r>
    </w:p>
    <w:p>
      <w:pPr>
        <w:pStyle w:val="BlockQuote"/>
        <w:rPr/>
      </w:pPr>
      <w:r>
        <w:rPr/>
        <w:t>A state-created cause of action can be deemed to arise under federal law (1) where federal law completely preempts state law . . .; (2) where the claim is necessarily federal in character . . .; or (3) where the right to relief depends on the resolution of a substantial, disputed federal question . . . .  231 F.3d at 1114.</w:t>
      </w:r>
      <w:r>
        <w:rPr>
          <w:rStyle w:val="FootnoteCharacters"/>
          <w:rStyle w:val="FootnoteReference"/>
        </w:rPr>
        <w:footnoteReference w:id="6"/>
      </w:r>
    </w:p>
    <w:p>
      <w:pPr>
        <w:pStyle w:val="LeftAlign2"/>
        <w:rPr/>
      </w:pPr>
      <w:r>
        <w:rPr/>
        <w:t xml:space="preserve">The second of these categories fits our situation quite comfortably, and the case </w:t>
      </w:r>
      <w:r>
        <w:rPr>
          <w:u w:val="single"/>
        </w:rPr>
        <w:t>Arco</w:t>
      </w:r>
      <w:r>
        <w:rPr/>
        <w:t xml:space="preserve"> cites for it -- </w:t>
      </w:r>
      <w:r>
        <w:rPr>
          <w:u w:val="single"/>
        </w:rPr>
        <w:t>Brennan v. Southwest Airlines Co.</w:t>
      </w:r>
      <w:r>
        <w:rPr/>
        <w:t>, 134 F.3d 1405 (9th Cir. 1998) -- is a very helpful contemporary precedent.</w:t>
      </w:r>
    </w:p>
    <w:p>
      <w:pPr>
        <w:pStyle w:val="BodyTextStyle"/>
        <w:rPr/>
      </w:pPr>
      <w:r>
        <w:rPr>
          <w:u w:val="single"/>
        </w:rPr>
        <w:t>Brennan</w:t>
      </w:r>
      <w:r>
        <w:rPr/>
        <w:t xml:space="preserve"> held that a class action against airlines seeking to recover moneys withheld from passengers for payment of anticipated federal taxes that in fact were never imposed by the government was in substance a suit for a tax refund and therefore removable under the artful pleading doctrine as “an inherently federal claim.”  </w:t>
      </w:r>
      <w:r>
        <w:rPr>
          <w:u w:val="single"/>
        </w:rPr>
        <w:t>Id.</w:t>
      </w:r>
      <w:r>
        <w:rPr/>
        <w:t xml:space="preserve"> at 1409. The court held such a claim to be inherently federal because “the IRC provides the exclusive remedy in tax refund suits and thus preempts state-law claims that seek tax refunds.”  </w:t>
      </w:r>
      <w:r>
        <w:rPr>
          <w:u w:val="single"/>
        </w:rPr>
        <w:t>Id.</w:t>
      </w:r>
      <w:r>
        <w:rPr/>
        <w:t xml:space="preserve">  It further held that the removal court properly dismissed the complaint on the grounds (1) that no tax refund claim can be asserted in court until administrative remedies at the IRS have been exhausted and (2) that refund suits can be brought only against the United States and not against collection agents such as the airlines.   The present cases are analogous to </w:t>
      </w:r>
      <w:r>
        <w:rPr>
          <w:u w:val="single"/>
        </w:rPr>
        <w:t>Brennan</w:t>
      </w:r>
      <w:r>
        <w:rPr/>
        <w:t xml:space="preserve"> in that they are in substance suits to recover payments for electricity as to which the Federal Power Act provides exclusive remedies that displace any state jurisdiction.  Here, as in </w:t>
      </w:r>
      <w:r>
        <w:rPr>
          <w:u w:val="single"/>
        </w:rPr>
        <w:t>Brennan</w:t>
      </w:r>
      <w:r>
        <w:rPr/>
        <w:t>, the existence of a bar to any such suit in any court does not take away the threshold removal jurisdiction established by the exclusive jurisdiction provision of the statute.   The federal courts have exclusive jurisdiction to decide in the first instance whether or not the case can be brought on the merits.</w:t>
      </w:r>
    </w:p>
    <w:p>
      <w:pPr>
        <w:pStyle w:val="BodyTextStyle"/>
        <w:rPr/>
      </w:pPr>
      <w:r>
        <w:rPr/>
        <w:t xml:space="preserve">Putting the matter another way, plaintiffs’ claims are necessarily claims that the charges paid by their utilities for electricity pursuant to defendants’ tariffs (and passed on to plaintiffs) were illegal charges.  Whether or not such charges under tariffs regulated by FERC are illegal is inherently a federal question under the Federal Power Act, which entirely occupies the field and limits any potential lawsuit to the federal courts.  </w:t>
      </w:r>
      <w:r>
        <w:rPr>
          <w:u w:val="single"/>
        </w:rPr>
        <w:t>See</w:t>
      </w:r>
      <w:r>
        <w:rPr/>
        <w:t xml:space="preserve"> </w:t>
      </w:r>
      <w:r>
        <w:rPr>
          <w:u w:val="single"/>
        </w:rPr>
        <w:t>Cahnmann v. Sprint Corp.</w:t>
      </w:r>
      <w:r>
        <w:rPr/>
        <w:t xml:space="preserve">, </w:t>
      </w:r>
      <w:r>
        <w:rPr>
          <w:u w:val="single"/>
        </w:rPr>
        <w:t>supra</w:t>
      </w:r>
      <w:r>
        <w:rPr/>
        <w:t xml:space="preserve">.  </w:t>
      </w:r>
    </w:p>
    <w:p>
      <w:pPr>
        <w:pStyle w:val="BodyTextStyle"/>
        <w:rPr/>
      </w:pPr>
      <w:r>
        <w:rPr/>
        <w:t xml:space="preserve">The significance of the exclusive jurisdiction provision of section 317 of the FPA is confirmed by </w:t>
      </w:r>
      <w:r>
        <w:rPr>
          <w:u w:val="single"/>
        </w:rPr>
        <w:t>Sparta Surgical Corp. v. NASD</w:t>
      </w:r>
      <w:r>
        <w:rPr/>
        <w:t xml:space="preserve">, 159 F.3d 1209 (9th Cir. 1998).  Sparta sued the NASD on a variety of California common law theories.  The Court of Appeals held that the Securities Exchange Act’s exclusive jurisdiction provision (15 U.S.C. § 78aa), which is substantially identical to section 317 of the FPA, gave the federal court removal jurisdiction over the claims because they were founded on conduct “the propriety of which must be exclusively determined by federal law.”  </w:t>
      </w:r>
      <w:r>
        <w:rPr>
          <w:u w:val="single"/>
        </w:rPr>
        <w:t>Id.</w:t>
      </w:r>
      <w:r>
        <w:rPr/>
        <w:t xml:space="preserve"> at 1212.  This federal jurisdiction was not diminished by the fact that federal law provided no private right of action: </w:t>
      </w:r>
    </w:p>
    <w:p>
      <w:pPr>
        <w:pStyle w:val="BlockQuote"/>
        <w:ind w:firstLine="360" w:end="1080"/>
        <w:rPr/>
      </w:pPr>
      <w:r>
        <w:rPr/>
        <w:t xml:space="preserve">Sparta . . . [cites] </w:t>
      </w:r>
      <w:r>
        <w:rPr>
          <w:u w:val="single"/>
        </w:rPr>
        <w:t>Merrell Dow Pharmaceuticals v. Thompson</w:t>
      </w:r>
      <w:r>
        <w:rPr/>
        <w:t xml:space="preserve">, 478 U.S. 804, 106 S.Ct. 3229, 92 L.Ed.2d 650 (1986), for the proposition that federal question jurisdiction cannot lie absent a private right of action to enforce the federal right. See also </w:t>
      </w:r>
      <w:r>
        <w:rPr>
          <w:u w:val="single"/>
        </w:rPr>
        <w:t>Utley v. Varian Assoc.</w:t>
      </w:r>
      <w:r>
        <w:rPr/>
        <w:t xml:space="preserve">, 811 F.2d 1279, 1283 (9th Cir.1987). Because there is no private right of action for breach of a self-regulatory organization's rules, see </w:t>
      </w:r>
      <w:r>
        <w:rPr>
          <w:u w:val="single"/>
        </w:rPr>
        <w:t>Jablon v. Dean Witter &amp; Co.</w:t>
      </w:r>
      <w:r>
        <w:rPr/>
        <w:t xml:space="preserve">, 614 F.2d 677, 681 (9th Cir.1980), Sparta reasons that application of </w:t>
      </w:r>
      <w:r>
        <w:rPr>
          <w:u w:val="single"/>
        </w:rPr>
        <w:t>Merrell Dow</w:t>
      </w:r>
      <w:r>
        <w:rPr/>
        <w:t xml:space="preserve"> and </w:t>
      </w:r>
      <w:r>
        <w:rPr>
          <w:u w:val="single"/>
        </w:rPr>
        <w:t>Utley</w:t>
      </w:r>
      <w:r>
        <w:rPr/>
        <w:t xml:space="preserve"> should extinguish federal jurisdiction.</w:t>
      </w:r>
    </w:p>
    <w:p>
      <w:pPr>
        <w:pStyle w:val="BlockQuote"/>
        <w:rPr/>
      </w:pPr>
      <w:r>
        <w:rPr>
          <w:rFonts w:eastAsia="Galliard"/>
        </w:rPr>
        <w:t xml:space="preserve"> </w:t>
      </w:r>
      <w:r>
        <w:rPr/>
        <w:tab/>
        <w:t xml:space="preserve">Sparta's argument would have merit if jurisdiction in this case had been solely predicated on 28 U.S.C. § 1331, which was at issue in </w:t>
      </w:r>
      <w:r>
        <w:rPr>
          <w:u w:val="single"/>
        </w:rPr>
        <w:t>Merrell Dow</w:t>
      </w:r>
      <w:r>
        <w:rPr/>
        <w:t xml:space="preserve"> and </w:t>
      </w:r>
      <w:r>
        <w:rPr>
          <w:u w:val="single"/>
        </w:rPr>
        <w:t>Utley</w:t>
      </w:r>
      <w:r>
        <w:rPr/>
        <w:t xml:space="preserve">. However, jurisdiction lies here not under 28 U.S.C. § 1331, but under 15 U.S.C. § 78aa which vests exclusive jurisdiction over claims concerning duties created by exchange rules in the federal courts. Thus, neither </w:t>
      </w:r>
      <w:r>
        <w:rPr>
          <w:u w:val="single"/>
        </w:rPr>
        <w:t>Merrell Dow</w:t>
      </w:r>
      <w:r>
        <w:rPr/>
        <w:t xml:space="preserve"> nor </w:t>
      </w:r>
      <w:r>
        <w:rPr>
          <w:u w:val="single"/>
        </w:rPr>
        <w:t>Utley</w:t>
      </w:r>
      <w:r>
        <w:rPr/>
        <w:t xml:space="preserve"> divested the district court of jurisdiction in this instance. Similarly, the rule that state law claims cannot be alchemized into federal causes of action by incidental reference, see [</w:t>
      </w:r>
      <w:r>
        <w:rPr>
          <w:u w:val="single"/>
        </w:rPr>
        <w:t>Crossland Mortgage Corp. v.</w:t>
      </w:r>
      <w:r>
        <w:rPr/>
        <w:t xml:space="preserve">] </w:t>
      </w:r>
      <w:r>
        <w:rPr>
          <w:u w:val="single"/>
        </w:rPr>
        <w:t>Easton</w:t>
      </w:r>
      <w:r>
        <w:rPr/>
        <w:t xml:space="preserve">, 114 F.3d [979, 982 (9th Cir. 1997)], has no application when relief is partially predicated on a subject matter committed exclusively to federal jurisdiction. See </w:t>
      </w:r>
      <w:r>
        <w:rPr>
          <w:u w:val="single"/>
        </w:rPr>
        <w:t>Hawkins</w:t>
      </w:r>
      <w:r>
        <w:rPr/>
        <w:t xml:space="preserve"> [</w:t>
      </w:r>
      <w:r>
        <w:rPr>
          <w:u w:val="single"/>
        </w:rPr>
        <w:t>v. NASD</w:t>
      </w:r>
      <w:r>
        <w:rPr/>
        <w:t>, 149 F.3d 330, 332 (5th Cir. 1998)].</w:t>
      </w:r>
    </w:p>
    <w:p>
      <w:pPr>
        <w:pStyle w:val="BlockQuote"/>
        <w:rPr/>
      </w:pPr>
      <w:r>
        <w:rPr/>
        <w:tab/>
        <w:t xml:space="preserve">Here, . . . Sparta specifically alleged violation of exchange rules, a matter committed exclusively to federal jurisdiction [by § 78aa]. </w:t>
        <w:br/>
        <w:t>[</w:t>
      </w:r>
      <w:r>
        <w:rPr>
          <w:u w:val="single"/>
        </w:rPr>
        <w:t>Id.</w:t>
      </w:r>
      <w:r>
        <w:rPr/>
        <w:t xml:space="preserve"> at 1212-13]  </w:t>
      </w:r>
    </w:p>
    <w:p>
      <w:pPr>
        <w:pStyle w:val="LeftAlign2"/>
        <w:rPr/>
      </w:pPr>
      <w:r>
        <w:rPr/>
        <w:t xml:space="preserve">Here, as in </w:t>
      </w:r>
      <w:r>
        <w:rPr>
          <w:u w:val="single"/>
        </w:rPr>
        <w:t>Sparta</w:t>
      </w:r>
      <w:r>
        <w:rPr/>
        <w:t>, the plaintiff has pled a claim in an area where the federal courts have explicitly been given exclusive jurisdiction, and the fact that there is no private right of action in court does not make the claim any the less federal for the threshold jurisdictional purposes that are relevant for removal.</w:t>
      </w:r>
    </w:p>
    <w:p>
      <w:pPr>
        <w:pStyle w:val="BodyTextStyle"/>
        <w:rPr/>
      </w:pPr>
      <w:r>
        <w:rPr/>
        <w:t xml:space="preserve">Removal of </w:t>
      </w:r>
      <w:r>
        <w:rPr>
          <w:u w:val="single"/>
        </w:rPr>
        <w:t>Hendricks</w:t>
      </w:r>
      <w:r>
        <w:rPr/>
        <w:t xml:space="preserve"> is reinforced by reference to that complaint’s Third Cause of Action, which alleges that defendants have violated Business &amp; Professions Code § 17200 </w:t>
      </w:r>
      <w:r>
        <w:rPr>
          <w:u w:val="single"/>
        </w:rPr>
        <w:t>et</w:t>
      </w:r>
      <w:r>
        <w:rPr/>
        <w:t xml:space="preserve"> </w:t>
      </w:r>
      <w:r>
        <w:rPr>
          <w:u w:val="single"/>
        </w:rPr>
        <w:t>seq.</w:t>
      </w:r>
      <w:r>
        <w:rPr/>
        <w:t xml:space="preserve"> “in that their conduct is immoral, unscrupulous </w:t>
      </w:r>
      <w:r>
        <w:rPr>
          <w:u w:val="single"/>
        </w:rPr>
        <w:t>or</w:t>
      </w:r>
      <w:r>
        <w:rPr/>
        <w:t xml:space="preserve"> </w:t>
      </w:r>
      <w:r>
        <w:rPr>
          <w:u w:val="single"/>
        </w:rPr>
        <w:t>offends</w:t>
      </w:r>
      <w:r>
        <w:rPr/>
        <w:t xml:space="preserve"> </w:t>
      </w:r>
      <w:r>
        <w:rPr>
          <w:u w:val="single"/>
        </w:rPr>
        <w:t>public</w:t>
      </w:r>
      <w:r>
        <w:rPr/>
        <w:t xml:space="preserve"> </w:t>
      </w:r>
      <w:r>
        <w:rPr>
          <w:u w:val="single"/>
        </w:rPr>
        <w:t>policy</w:t>
      </w:r>
      <w:r>
        <w:rPr/>
        <w:t xml:space="preserve">.”  Since the public policy relating to wholesale electricity rates is purely federal, this claim appears to fall within the third category stated in </w:t>
      </w:r>
      <w:r>
        <w:rPr>
          <w:u w:val="single"/>
        </w:rPr>
        <w:t>Arco</w:t>
      </w:r>
      <w:r>
        <w:rPr/>
        <w:t xml:space="preserve"> as well as the second -- because “the right to relief depends on the resolution of a substantial, disputed federal question” as to what the federal public policy is under market-based tariffs. </w:t>
      </w:r>
    </w:p>
    <w:p>
      <w:pPr>
        <w:pStyle w:val="LeftAlign2"/>
        <w:jc w:val="center"/>
        <w:rPr/>
      </w:pPr>
      <w:r>
        <w:rPr/>
        <w:t>*       *       *</w:t>
      </w:r>
    </w:p>
    <w:p>
      <w:pPr>
        <w:pStyle w:val="BodyTextStyle"/>
        <w:rPr/>
      </w:pPr>
      <w:r>
        <w:rPr/>
        <w:t xml:space="preserve">We are fortunate in having two very recent Ninth Circuit decisions -- </w:t>
      </w:r>
      <w:r>
        <w:rPr>
          <w:u w:val="single"/>
        </w:rPr>
        <w:t>Sparta</w:t>
      </w:r>
      <w:r>
        <w:rPr/>
        <w:t xml:space="preserve"> and </w:t>
      </w:r>
      <w:r>
        <w:rPr>
          <w:u w:val="single"/>
        </w:rPr>
        <w:t>Brennan</w:t>
      </w:r>
      <w:r>
        <w:rPr/>
        <w:t xml:space="preserve"> -- both of which establish straightforward and substantial grounds for removal of our cases.  Moreover, the subject matter is one which federal judges should be prepared to view as national in scope and unsuitable for decision in the highly charged atmosphere that is likely to prevail in local state courts.  In a very real sense, this is an area -- perhaps especially in the Ninth Circuit -- in which it can be said that where there is a will the courts will find a way to remove.  It is relatively unlikely that grant of a remand motion would delve into any substantial merits issues, but in any event any such risk could well be worthwhile to the extent that a federal court would be a more favorable forum than a state court for full and fair consideration of preemption and related issues.  </w:t>
      </w:r>
    </w:p>
    <w:p>
      <w:pPr>
        <w:pStyle w:val="BodyTextStyle"/>
        <w:rPr/>
      </w:pPr>
      <w:r>
        <w:rPr/>
        <w:t xml:space="preserve">There is one other consideration that favors removing now under the complete preemption/necessarily federal theories.  Even if removal fails at the outset, it may well be that our efforts to obtain further particularization of plaintiffs’ claims will result in a clearer invocation of federal law, which will then improve our removal posture.  If so, we can remove within 30 days after receipt of “an amended pleading, motion, order or other paper from which it may first be ascertained that the case is one which is or has become removable.”  28 U.S.C. § 1446(b) ¶ 2.  Such later removals are commonly met with the contention that they are out of time because the defendant was previously on notice of the federal issue.  If we have previously removed and been remanded, we would be protected against any such contention.  </w:t>
      </w:r>
    </w:p>
    <w:p>
      <w:pPr>
        <w:pStyle w:val="LeftAlign2"/>
        <w:jc w:val="center"/>
        <w:rPr/>
      </w:pPr>
      <w:r>
        <w:rPr/>
        <w:t>*       *       *</w:t>
      </w:r>
    </w:p>
    <w:p>
      <w:pPr>
        <w:pStyle w:val="BodyTextStyle"/>
        <w:rPr/>
      </w:pPr>
      <w:r>
        <w:rPr/>
        <w:t>Procedurally, removal is effected by filing in the federal court a short and plain statement of the grounds for removal, signed in accordance with Rule 11, accompanied by copies of all process, pleadings and orders served in state court.  The notice must be filed within 30 days after service of the complaint -- which we understand was first accomplished on November 30.  28 U.S.C. § 1446(a) and (b).  It is then up to plaintiffs to move to remand, and the first detailed argument in favor of removal would be made in the opposition to that motion.  There is no time limit for the motion to remand insofar as plaintiffs claim lack of federal jurisdiction, but any other objection must be filed within 30 days after the notice of removal is filed.  28 U.S.C. § 1447(c).  In any event, plaintiffs are likely to raise any opposition promptly.  The district court’s decision on the remand motion is not separately appealable. 28 U.S.C. § 1447(d).</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43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65100"/>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6510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1232603</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QF2Z01!.DOC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Fonts w:cs="Arial" w:ascii="Arial" w:hAnsi="Arial"/>
        <w:sz w:val="12"/>
      </w:rPr>
      <w:fldChar w:fldCharType="begin"/>
    </w:r>
    <w:r>
      <w:rPr>
        <w:sz w:val="12"/>
        <w:rFonts w:cs="Arial" w:ascii="Arial" w:hAnsi="Arial"/>
      </w:rPr>
      <w:instrText xml:space="preserve"> DOCPROPERTY "DOCSNumber"</w:instrText>
    </w:r>
    <w:r>
      <w:rPr>
        <w:sz w:val="12"/>
        <w:rFonts w:cs="Arial" w:ascii="Arial" w:hAnsi="Arial"/>
      </w:rPr>
      <w:fldChar w:fldCharType="separate"/>
    </w:r>
    <w:r>
      <w:rPr>
        <w:sz w:val="12"/>
        <w:rFonts w:cs="Arial" w:ascii="Arial" w:hAnsi="Arial"/>
      </w:rPr>
      <w:t>1232603</w:t>
    </w:r>
    <w:r>
      <w:rPr>
        <w:sz w:val="12"/>
        <w:rFonts w:cs="Arial" w:ascii="Arial" w:hAnsi="Arial"/>
      </w:rPr>
      <w:fldChar w:fldCharType="end"/>
    </w:r>
    <w:r>
      <w:rPr>
        <w:rFonts w:eastAsia="Arial" w:cs="Arial" w:ascii="Arial" w:hAnsi="Arial"/>
        <w:sz w:val="12"/>
      </w:rPr>
      <w:t xml:space="preserve"> </w:t>
    </w:r>
    <w:r>
      <w:rPr>
        <w:rFonts w:cs="Arial" w:ascii="Arial" w:hAnsi="Arial"/>
        <w:sz w:val="12"/>
      </w:rPr>
      <w:t>v</w:t>
    </w:r>
    <w:r>
      <w:rPr>
        <w:rFonts w:cs="Arial" w:ascii="Arial" w:hAnsi="Arial"/>
        <w:sz w:val="12"/>
      </w:rPr>
      <w:fldChar w:fldCharType="begin"/>
    </w:r>
    <w:r>
      <w:rPr>
        <w:sz w:val="12"/>
        <w:rFonts w:cs="Arial" w:ascii="Arial" w:hAnsi="Arial"/>
      </w:rPr>
      <w:instrText xml:space="preserve"> DOCPROPERTY "DOCSDocVer"</w:instrText>
    </w:r>
    <w:r>
      <w:rPr>
        <w:sz w:val="12"/>
        <w:rFonts w:cs="Arial" w:ascii="Arial" w:hAnsi="Arial"/>
      </w:rPr>
      <w:fldChar w:fldCharType="separate"/>
    </w:r>
    <w:r>
      <w:rPr>
        <w:sz w:val="12"/>
        <w:rFonts w:cs="Arial" w:ascii="Arial" w:hAnsi="Arial"/>
      </w:rPr>
      <w:t>1</w:t>
    </w:r>
    <w:r>
      <w:rPr>
        <w:sz w:val="12"/>
        <w:rFonts w:cs="Arial" w:ascii="Arial" w:hAnsi="Arial"/>
      </w:rPr>
      <w:fldChar w:fldCharType="end"/>
    </w:r>
    <w:r>
      <w:rPr>
        <w:rFonts w:cs="Arial" w:ascii="Arial" w:hAnsi="Arial"/>
        <w:sz w:val="12"/>
      </w:rPr>
      <w:t xml:space="preserve">; </w:t>
    </w:r>
    <w:r>
      <w:rPr>
        <w:rFonts w:cs="Arial" w:ascii="Arial" w:hAnsi="Arial"/>
        <w:sz w:val="12"/>
      </w:rPr>
      <w:fldChar w:fldCharType="begin"/>
    </w:r>
    <w:r>
      <w:rPr>
        <w:sz w:val="12"/>
        <w:rFonts w:cs="Arial" w:ascii="Arial" w:hAnsi="Arial"/>
      </w:rPr>
      <w:instrText xml:space="preserve"> DOCPROPERTY "DOCS83File"</w:instrText>
    </w:r>
    <w:r>
      <w:rPr>
        <w:sz w:val="12"/>
        <w:rFonts w:cs="Arial" w:ascii="Arial" w:hAnsi="Arial"/>
      </w:rPr>
      <w:fldChar w:fldCharType="separate"/>
    </w:r>
    <w:r>
      <w:rPr>
        <w:sz w:val="12"/>
        <w:rFonts w:cs="Arial" w:ascii="Arial" w:hAnsi="Arial"/>
      </w:rPr>
      <w:t>QF2Z01!.DOC</w:t>
    </w:r>
    <w:r>
      <w:rPr>
        <w:sz w:val="12"/>
        <w:rFonts w:cs="Arial" w:ascii="Arial" w:hAnsi="Arial"/>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rPr/>
      </w:pPr>
      <w:r>
        <w:rPr>
          <w:rStyle w:val="FootnoteCharacters"/>
        </w:rPr>
        <w:footnoteRef/>
      </w:r>
      <w:r>
        <w:rPr/>
        <w:t xml:space="preserve"> </w:t>
      </w:r>
      <w:r>
        <w:rPr/>
        <w:tab/>
        <w:t xml:space="preserve">The tariffs in effect here provided for “market-based” rates rather than specifying particular rate levels or formulas in the traditional way.  This will no doubt raise an issue as to the applicability of the filed rate doctrine, but it does not change the jurisdictional structure.  Existing precedent supports applicability of the filed rate doctrine to market-based rates for wholesale power, which remain subject to Commission filing and mitigation requirements.  </w:t>
      </w:r>
      <w:r>
        <w:rPr>
          <w:u w:val="single"/>
        </w:rPr>
        <w:t>See</w:t>
      </w:r>
      <w:r>
        <w:rPr/>
        <w:t xml:space="preserve"> </w:t>
      </w:r>
      <w:r>
        <w:rPr>
          <w:u w:val="single"/>
        </w:rPr>
        <w:t>Town of Norwood v. New England Power Co.</w:t>
      </w:r>
      <w:r>
        <w:rPr/>
        <w:t xml:space="preserve">, 23 F. Supp. 2d 109 (D. Mass. 1998), </w:t>
      </w:r>
      <w:r>
        <w:rPr>
          <w:u w:val="single"/>
        </w:rPr>
        <w:t>aff’d</w:t>
      </w:r>
      <w:r>
        <w:rPr/>
        <w:t xml:space="preserve">, 202 F.3d 408 (1st Cir. 2000); Alternatives to Traditional Cost-of-Service Ratemaking for Natural Gas Pipelines, 74 FERC ¶ 61,076 at 61,230 (1996).  </w:t>
      </w:r>
    </w:p>
  </w:footnote>
  <w:footnote w:id="3">
    <w:p>
      <w:pPr>
        <w:pStyle w:val="FootnoteText"/>
        <w:spacing w:before="0" w:after="120"/>
        <w:rPr/>
      </w:pPr>
      <w:r>
        <w:rPr>
          <w:rStyle w:val="FootnoteCharacters"/>
        </w:rPr>
        <w:footnoteRef/>
      </w:r>
      <w:r>
        <w:rPr/>
        <w:t xml:space="preserve"> </w:t>
      </w:r>
      <w:r>
        <w:rPr/>
        <w:tab/>
        <w:t xml:space="preserve">The Supreme Court has determined that there is no private cause of action for violations of Sections 205 and 206 of the Federal Power Act.  </w:t>
      </w:r>
      <w:r>
        <w:rPr>
          <w:u w:val="single"/>
        </w:rPr>
        <w:t>Montana-Dakota Utilities Co. v. Northwestern Public Service Co.</w:t>
      </w:r>
      <w:r>
        <w:rPr/>
        <w:t xml:space="preserve">, 341 U.S. 246 (1951); </w:t>
      </w:r>
      <w:r>
        <w:rPr>
          <w:u w:val="single"/>
        </w:rPr>
        <w:t>see</w:t>
      </w:r>
      <w:r>
        <w:rPr/>
        <w:t xml:space="preserve"> </w:t>
      </w:r>
      <w:r>
        <w:rPr>
          <w:u w:val="single"/>
        </w:rPr>
        <w:t>Arkla</w:t>
      </w:r>
      <w:r>
        <w:rPr/>
        <w:t xml:space="preserve"> at 578; </w:t>
      </w:r>
      <w:r>
        <w:rPr>
          <w:u w:val="single"/>
        </w:rPr>
        <w:t>City of Gainesville v. Florida Power &amp; Light Co</w:t>
      </w:r>
      <w:r>
        <w:rPr/>
        <w:t>., 488 F. Supp. 1258 (S. D. Fla. 1980).</w:t>
      </w:r>
    </w:p>
  </w:footnote>
  <w:footnote w:id="4">
    <w:p>
      <w:pPr>
        <w:pStyle w:val="FootnoteText"/>
        <w:spacing w:before="0" w:after="120"/>
        <w:rPr/>
      </w:pPr>
      <w:r>
        <w:rPr>
          <w:rStyle w:val="FootnoteCharacters"/>
        </w:rPr>
        <w:footnoteRef/>
      </w:r>
      <w:r>
        <w:rPr/>
        <w:t xml:space="preserve"> </w:t>
      </w:r>
      <w:r>
        <w:rPr/>
        <w:tab/>
      </w:r>
      <w:r>
        <w:rPr>
          <w:u w:val="single"/>
        </w:rPr>
        <w:t>Brennan v. Southwest Airlines Co.</w:t>
      </w:r>
      <w:r>
        <w:rPr/>
        <w:t xml:space="preserve">, 134 F.3d 1405 (9th Cir. 1998); </w:t>
      </w:r>
      <w:r>
        <w:rPr>
          <w:u w:val="single"/>
        </w:rPr>
        <w:t>Sparta Surgical Corp. v. NASD</w:t>
      </w:r>
      <w:r>
        <w:rPr/>
        <w:t>, 159 F.3d 1209 (9th Cir. 1998).</w:t>
      </w:r>
    </w:p>
  </w:footnote>
  <w:footnote w:id="5">
    <w:p>
      <w:pPr>
        <w:pStyle w:val="FootnoteText"/>
        <w:spacing w:before="0" w:after="120"/>
        <w:rPr/>
      </w:pPr>
      <w:r>
        <w:rPr>
          <w:rStyle w:val="FootnoteCharacters"/>
        </w:rPr>
        <w:footnoteRef/>
      </w:r>
      <w:r>
        <w:rPr/>
        <w:t xml:space="preserve"> </w:t>
      </w:r>
      <w:r>
        <w:rPr/>
        <w:tab/>
        <w:t xml:space="preserve">The Ninth Circuit has recently rejected a CERCLA-based complete preemption theory in a case seeking documents relating to an environmental cleanup.  </w:t>
      </w:r>
      <w:r>
        <w:rPr>
          <w:u w:val="single"/>
        </w:rPr>
        <w:t>Arco Environmental Remediation, L.L.C. v. Department of Health and Environmental Quality</w:t>
      </w:r>
      <w:r>
        <w:rPr/>
        <w:t xml:space="preserve">, 213 F.3d 1108 (9th Cir. 2000).  The Court easily found (1) that there was no complete preemption because Congress had explicitly preserved substantial state authority over cleanups and (2) that the claim was not within the scope of the statute giving federal courts exclusive jurisdiction because it was not a challenge of a CERCLA cleanup.  </w:t>
      </w:r>
      <w:r>
        <w:rPr>
          <w:u w:val="single"/>
        </w:rPr>
        <w:t>Id.</w:t>
      </w:r>
      <w:r>
        <w:rPr/>
        <w:t xml:space="preserve"> at 1114-15.  The court went on to comment that complete preemption is limited to “‘those cases in which federal law completely preempts state law and provides a federal remedy.’”  </w:t>
      </w:r>
      <w:r>
        <w:rPr>
          <w:u w:val="single"/>
        </w:rPr>
        <w:t>Id.</w:t>
      </w:r>
      <w:r>
        <w:rPr/>
        <w:t xml:space="preserve"> at 1114, quoting </w:t>
      </w:r>
      <w:r>
        <w:rPr>
          <w:u w:val="single"/>
        </w:rPr>
        <w:t>Ethridge v. Harbor House Restaurant</w:t>
      </w:r>
      <w:r>
        <w:rPr/>
        <w:t xml:space="preserve">, 861 F.2d 1389, 1403 (9th Cir. 1988).  This latter comment was, however, not essential to the result in </w:t>
      </w:r>
      <w:r>
        <w:rPr>
          <w:u w:val="single"/>
        </w:rPr>
        <w:t>Arco</w:t>
      </w:r>
      <w:r>
        <w:rPr/>
        <w:t xml:space="preserve"> and indeed, as we shall show next, </w:t>
      </w:r>
      <w:r>
        <w:rPr>
          <w:u w:val="single"/>
        </w:rPr>
        <w:t>Arco</w:t>
      </w:r>
      <w:r>
        <w:rPr/>
        <w:t xml:space="preserve"> endorsed an alternative theory very similar to complete preemption which includes no such requirement that a federal </w:t>
      </w:r>
      <w:r>
        <w:rPr>
          <w:u w:val="single"/>
        </w:rPr>
        <w:t>remedy</w:t>
      </w:r>
      <w:r>
        <w:rPr/>
        <w:t xml:space="preserve"> be available.  In any event, the quoted statement in </w:t>
      </w:r>
      <w:r>
        <w:rPr>
          <w:u w:val="single"/>
        </w:rPr>
        <w:t>Ethridge</w:t>
      </w:r>
      <w:r>
        <w:rPr/>
        <w:t xml:space="preserve"> curiously ignored the directly contrary holding by the Supreme Court in </w:t>
      </w:r>
      <w:r>
        <w:rPr>
          <w:u w:val="single"/>
        </w:rPr>
        <w:t>Caterpillar Inc. v. Williams</w:t>
      </w:r>
      <w:r>
        <w:rPr/>
        <w:t xml:space="preserve">, 482 U.S. 386 (1987), even though </w:t>
      </w:r>
      <w:r>
        <w:rPr>
          <w:u w:val="single"/>
        </w:rPr>
        <w:t>Ethridge</w:t>
      </w:r>
      <w:r>
        <w:rPr/>
        <w:t xml:space="preserve"> discussed </w:t>
      </w:r>
      <w:r>
        <w:rPr>
          <w:u w:val="single"/>
        </w:rPr>
        <w:t>Caterpillar</w:t>
      </w:r>
      <w:r>
        <w:rPr/>
        <w:t xml:space="preserve"> at length.  </w:t>
      </w:r>
      <w:r>
        <w:rPr>
          <w:u w:val="single"/>
        </w:rPr>
        <w:t>Caterpillar</w:t>
      </w:r>
      <w:r>
        <w:rPr/>
        <w:t xml:space="preserve"> held that the Ninth Circuit opinion that it was affirming in other respects erred insofar as it held “that a case may not be removed to federal court on the ground that it is completely preempted unless the federal cause of action relied upon provides the plaintiff with a remedy.”  </w:t>
      </w:r>
      <w:r>
        <w:rPr>
          <w:u w:val="single"/>
        </w:rPr>
        <w:t>Id.</w:t>
      </w:r>
      <w:r>
        <w:rPr/>
        <w:t xml:space="preserve"> at 391 n.4.  In any event, </w:t>
      </w:r>
      <w:r>
        <w:rPr>
          <w:u w:val="single"/>
        </w:rPr>
        <w:t>Ethridge</w:t>
      </w:r>
      <w:r>
        <w:rPr/>
        <w:t xml:space="preserve"> would be of doubtful authority in view of intervening Ninth Circuit precedent (the </w:t>
      </w:r>
      <w:r>
        <w:rPr>
          <w:u w:val="single"/>
        </w:rPr>
        <w:t>Brennan</w:t>
      </w:r>
      <w:r>
        <w:rPr/>
        <w:t xml:space="preserve"> case discussed </w:t>
      </w:r>
      <w:r>
        <w:rPr>
          <w:u w:val="single"/>
        </w:rPr>
        <w:t>infra</w:t>
      </w:r>
      <w:r>
        <w:rPr/>
        <w:t xml:space="preserve">) involving, as here, a specific statutory provision giving exclusive jurisdiction to the federal courts without regard to whether or not a federal court can actually provide a remedy.  There was no such exclusivity provision in either </w:t>
      </w:r>
      <w:r>
        <w:rPr>
          <w:u w:val="single"/>
        </w:rPr>
        <w:t>Arco</w:t>
      </w:r>
      <w:r>
        <w:rPr/>
        <w:t xml:space="preserve"> or </w:t>
      </w:r>
      <w:r>
        <w:rPr>
          <w:u w:val="single"/>
        </w:rPr>
        <w:t>Ethridge</w:t>
      </w:r>
      <w:r>
        <w:rPr/>
        <w:t xml:space="preserve">, and in both cases the court specifically noted that the statutory schemes allowed for state as well as federal regulation.  </w:t>
      </w:r>
      <w:r>
        <w:rPr>
          <w:u w:val="single"/>
        </w:rPr>
        <w:t>See</w:t>
      </w:r>
      <w:r>
        <w:rPr/>
        <w:t xml:space="preserve"> </w:t>
      </w:r>
      <w:r>
        <w:rPr>
          <w:u w:val="single"/>
        </w:rPr>
        <w:t>Arco</w:t>
      </w:r>
      <w:r>
        <w:rPr/>
        <w:t xml:space="preserve"> at 1114; </w:t>
      </w:r>
      <w:r>
        <w:rPr>
          <w:u w:val="single"/>
        </w:rPr>
        <w:t>Ethridge</w:t>
      </w:r>
      <w:r>
        <w:rPr/>
        <w:t xml:space="preserve">  at 1398, 1402.</w:t>
      </w:r>
      <w:r>
        <w:rPr>
          <w:rStyle w:val="FootnoteCharacters"/>
        </w:rPr>
        <w:t xml:space="preserve"> </w:t>
      </w:r>
      <w:r>
        <w:rPr/>
        <w:t xml:space="preserve"> Note also the decisive significance that </w:t>
      </w:r>
      <w:r>
        <w:rPr>
          <w:u w:val="single"/>
        </w:rPr>
        <w:t>Sparta</w:t>
      </w:r>
      <w:r>
        <w:rPr/>
        <w:t xml:space="preserve"> attached to the Exchange Act’s exclusive jurisdiction provision, which is substantially the same as that in the Federal Power Act.</w:t>
      </w:r>
    </w:p>
  </w:footnote>
  <w:footnote w:id="6">
    <w:p>
      <w:pPr>
        <w:pStyle w:val="FootnoteText"/>
        <w:rPr/>
      </w:pPr>
      <w:r>
        <w:rPr>
          <w:rStyle w:val="FootnoteCharacters"/>
        </w:rPr>
        <w:footnoteRef/>
      </w:r>
      <w:r>
        <w:rPr/>
        <w:t xml:space="preserve"> </w:t>
      </w:r>
      <w:r>
        <w:rPr/>
        <w:tab/>
      </w:r>
      <w:r>
        <w:rPr>
          <w:u w:val="single"/>
        </w:rPr>
        <w:t>Arco</w:t>
      </w:r>
      <w:r>
        <w:rPr/>
        <w:t xml:space="preserve"> found none of these categories satisfied in that case. </w:t>
      </w:r>
    </w:p>
    <w:p>
      <w:pPr>
        <w:pStyle w:val="FootnoteText"/>
        <w:spacing w:before="0" w:after="120"/>
        <w:rPr/>
      </w:pPr>
      <w:r>
        <w:rPr/>
        <w:tab/>
        <w:t xml:space="preserve">In general, it should be noted that the terminology used by the courts, including the Supreme Court, is quite flexible.  The “artful pleading” category is particularly fuzzy now that it has been considerably emasculated by </w:t>
      </w:r>
      <w:r>
        <w:rPr>
          <w:u w:val="single"/>
        </w:rPr>
        <w:t>Rivet</w:t>
      </w:r>
      <w:r>
        <w:rPr/>
        <w:t xml:space="preserve">’s exclusion of res judicata.  </w:t>
      </w:r>
      <w:r>
        <w:rPr>
          <w:u w:val="single"/>
        </w:rPr>
        <w:t>Rivet</w:t>
      </w:r>
      <w:r>
        <w:rPr/>
        <w:t xml:space="preserve"> departs from the language of the prior “complete preemption” cases by referring to the assertion of a completely preempted claim as “artful pleading” in the excerpt quoted above.  And the “necessarily federal in character” concept which the Ninth Circuit views as an alternative mirrors language used in the description of the complete preemption doctrine quoted above from </w:t>
      </w:r>
      <w:r>
        <w:rPr>
          <w:u w:val="single"/>
        </w:rPr>
        <w:t>Metropolitan Life</w:t>
      </w:r>
      <w:r>
        <w:rPr/>
        <w:t xml:space="preserve">.  The Seventh Circuit’s </w:t>
      </w:r>
      <w:r>
        <w:rPr>
          <w:u w:val="single"/>
        </w:rPr>
        <w:t>Cahnemann</w:t>
      </w:r>
      <w:r>
        <w:rPr/>
        <w:t xml:space="preserve"> opinion does not use the term “complete preemption,” though it cites the Supreme Court decisions that do.  Thus, the theories tend to merge.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CONFIDENTIAL AND PRIVILEGED</w:t>
    </w:r>
  </w:p>
  <w:p>
    <w:pPr>
      <w:pStyle w:val="Header"/>
      <w:jc w:val="end"/>
      <w:rPr>
        <w:b/>
      </w:rPr>
    </w:pPr>
    <w:r>
      <w:rPr>
        <w:b/>
      </w:rPr>
      <w:t>WORK PRODUCT</w:t>
    </w:r>
  </w:p>
  <w:p>
    <w:pPr>
      <w:pStyle w:val="Header"/>
      <w:jc w:val="end"/>
      <w:rPr>
        <w:b/>
      </w:rPr>
    </w:pPr>
    <w:r>
      <w:rPr>
        <w:b/>
      </w:rPr>
      <w:t>PROTECTED BY JOINT DEFENSE PRIVILEGE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u w:val="none"/>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abstractNum w:abstractNumId="2">
    <w:lvl w:ilvl="0">
      <w:start w:val="1"/>
      <w:numFmt w:val="bullet"/>
      <w:lvlText w:val=""/>
      <w:lvlJc w:val="start"/>
      <w:pPr>
        <w:tabs>
          <w:tab w:val="num" w:pos="2160"/>
        </w:tabs>
        <w:ind w:start="2160" w:hanging="576"/>
      </w:pPr>
      <w:rPr>
        <w:rFonts w:ascii="Symbol" w:hAnsi="Symbol" w:cs="Symbol" w:hint="default"/>
      </w:rPr>
    </w:lvl>
  </w:abstractNum>
  <w:abstractNum w:abstractNumId="3">
    <w:lvl w:ilvl="0">
      <w:start w:val="1"/>
      <w:numFmt w:val="bullet"/>
      <w:lvlText w:val=""/>
      <w:lvlJc w:val="start"/>
      <w:pPr>
        <w:tabs>
          <w:tab w:val="num" w:pos="2736"/>
        </w:tabs>
        <w:ind w:start="2736" w:hanging="576"/>
      </w:pPr>
      <w:rPr>
        <w:rFonts w:ascii="Symbol" w:hAnsi="Symbol" w:cs="Symbol" w:hint="default"/>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60"/>
    </w:pPr>
    <w:rPr>
      <w:rFonts w:ascii="Galliard" w:hAnsi="Galliard" w:eastAsia="Times New Roman" w:cs="Galliard"/>
      <w:color w:val="auto"/>
      <w:sz w:val="24"/>
      <w:szCs w:val="20"/>
      <w:lang w:val="en-US" w:eastAsia="zh-CN" w:bidi="hi-IN"/>
    </w:rPr>
  </w:style>
  <w:style w:type="paragraph" w:styleId="Heading1">
    <w:name w:val="heading 1"/>
    <w:basedOn w:val="Normal"/>
    <w:next w:val="BodyText"/>
    <w:qFormat/>
    <w:pPr>
      <w:numPr>
        <w:ilvl w:val="0"/>
        <w:numId w:val="1"/>
      </w:numPr>
      <w:spacing w:before="260" w:after="0"/>
      <w:outlineLvl w:val="0"/>
    </w:pPr>
    <w:rPr>
      <w:kern w:val="2"/>
    </w:rPr>
  </w:style>
  <w:style w:type="paragraph" w:styleId="Heading2">
    <w:name w:val="heading 2"/>
    <w:basedOn w:val="Normal"/>
    <w:next w:val="BodyText"/>
    <w:qFormat/>
    <w:pPr>
      <w:numPr>
        <w:ilvl w:val="1"/>
        <w:numId w:val="1"/>
      </w:numPr>
      <w:spacing w:before="260" w:after="0"/>
      <w:outlineLvl w:val="1"/>
    </w:pPr>
    <w:rPr/>
  </w:style>
  <w:style w:type="paragraph" w:styleId="Heading3">
    <w:name w:val="heading 3"/>
    <w:basedOn w:val="Normal"/>
    <w:next w:val="BodyText"/>
    <w:qFormat/>
    <w:pPr>
      <w:numPr>
        <w:ilvl w:val="2"/>
        <w:numId w:val="1"/>
      </w:numPr>
      <w:spacing w:before="260" w:after="0"/>
      <w:outlineLvl w:val="2"/>
    </w:pPr>
    <w:rPr/>
  </w:style>
  <w:style w:type="paragraph" w:styleId="Heading4">
    <w:name w:val="heading 4"/>
    <w:basedOn w:val="Normal"/>
    <w:next w:val="BodyText"/>
    <w:qFormat/>
    <w:pPr>
      <w:numPr>
        <w:ilvl w:val="3"/>
        <w:numId w:val="1"/>
      </w:numPr>
      <w:spacing w:before="260" w:after="0"/>
      <w:outlineLvl w:val="3"/>
    </w:pPr>
    <w:rPr/>
  </w:style>
  <w:style w:type="paragraph" w:styleId="Heading5">
    <w:name w:val="heading 5"/>
    <w:basedOn w:val="Normal"/>
    <w:next w:val="BodyText"/>
    <w:qFormat/>
    <w:pPr>
      <w:numPr>
        <w:ilvl w:val="4"/>
        <w:numId w:val="1"/>
      </w:numPr>
      <w:spacing w:before="260" w:after="0"/>
      <w:outlineLvl w:val="4"/>
    </w:pPr>
    <w:rPr/>
  </w:style>
  <w:style w:type="paragraph" w:styleId="Heading6">
    <w:name w:val="heading 6"/>
    <w:basedOn w:val="Normal"/>
    <w:next w:val="BodyText"/>
    <w:qFormat/>
    <w:pPr>
      <w:numPr>
        <w:ilvl w:val="5"/>
        <w:numId w:val="1"/>
      </w:numPr>
      <w:spacing w:before="260" w:after="0"/>
      <w:outlineLvl w:val="5"/>
    </w:pPr>
    <w:rPr/>
  </w:style>
  <w:style w:type="paragraph" w:styleId="Heading7">
    <w:name w:val="heading 7"/>
    <w:basedOn w:val="Normal"/>
    <w:next w:val="BodyText"/>
    <w:qFormat/>
    <w:pPr>
      <w:numPr>
        <w:ilvl w:val="6"/>
        <w:numId w:val="1"/>
      </w:numPr>
      <w:spacing w:lineRule="exact" w:line="520"/>
      <w:outlineLvl w:val="6"/>
    </w:pPr>
    <w:rPr/>
  </w:style>
  <w:style w:type="paragraph" w:styleId="Heading8">
    <w:name w:val="heading 8"/>
    <w:basedOn w:val="Normal"/>
    <w:next w:val="BodyText"/>
    <w:qFormat/>
    <w:pPr>
      <w:numPr>
        <w:ilvl w:val="7"/>
        <w:numId w:val="1"/>
      </w:numPr>
      <w:spacing w:before="260" w:after="0"/>
      <w:outlineLvl w:val="7"/>
    </w:pPr>
    <w:rPr/>
  </w:style>
  <w:style w:type="paragraph" w:styleId="Heading9">
    <w:name w:val="heading 9"/>
    <w:basedOn w:val="Normal"/>
    <w:next w:val="BodyText"/>
    <w:qFormat/>
    <w:pPr>
      <w:numPr>
        <w:ilvl w:val="8"/>
        <w:numId w:val="1"/>
      </w:numPr>
      <w:spacing w:lineRule="exact" w:line="520"/>
      <w:outlineLvl w:val="8"/>
    </w:pPr>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exact" w:line="260"/>
    </w:pPr>
    <w:rPr/>
  </w:style>
  <w:style w:type="paragraph" w:styleId="BlockQuote">
    <w:name w:val="Block Quote"/>
    <w:basedOn w:val="Normal"/>
    <w:qFormat/>
    <w:pPr>
      <w:spacing w:before="260" w:after="0"/>
      <w:ind w:hanging="0" w:start="1080" w:end="1080"/>
    </w:pPr>
    <w:rPr/>
  </w:style>
  <w:style w:type="paragraph" w:styleId="BodySingle">
    <w:name w:val="Body Single"/>
    <w:basedOn w:val="Normal"/>
    <w:qFormat/>
    <w:pPr>
      <w:spacing w:before="260" w:after="0"/>
      <w:ind w:firstLine="1080" w:start="0" w:end="0"/>
    </w:pPr>
    <w:rPr/>
  </w:style>
  <w:style w:type="paragraph" w:styleId="BodyTextStyle">
    <w:name w:val="Body Text Style"/>
    <w:basedOn w:val="Normal"/>
    <w:qFormat/>
    <w:pPr>
      <w:spacing w:lineRule="exact" w:line="520"/>
      <w:ind w:firstLine="1080" w:start="0" w:end="0"/>
    </w:pPr>
    <w:rPr/>
  </w:style>
  <w:style w:type="paragraph" w:styleId="Bullet-Large">
    <w:name w:val="Bullet-Large"/>
    <w:basedOn w:val="Normal"/>
    <w:qFormat/>
    <w:pPr>
      <w:numPr>
        <w:ilvl w:val="0"/>
        <w:numId w:val="2"/>
      </w:numPr>
      <w:spacing w:before="260" w:after="0"/>
      <w:ind w:hanging="0" w:start="0" w:end="1080"/>
    </w:pPr>
    <w:rPr/>
  </w:style>
  <w:style w:type="paragraph" w:styleId="Bullet-Small">
    <w:name w:val="Bullet-Small"/>
    <w:basedOn w:val="Normal"/>
    <w:qFormat/>
    <w:pPr>
      <w:numPr>
        <w:ilvl w:val="0"/>
        <w:numId w:val="3"/>
      </w:numPr>
      <w:spacing w:before="260" w:after="0"/>
      <w:ind w:hanging="0" w:start="0" w:end="1080"/>
    </w:pPr>
    <w:rPr/>
  </w:style>
  <w:style w:type="paragraph" w:styleId="Center">
    <w:name w:val="Center"/>
    <w:basedOn w:val="Normal"/>
    <w:qFormat/>
    <w:pPr>
      <w:spacing w:before="260" w:after="0"/>
      <w:jc w:val="center"/>
    </w:pPr>
    <w:rPr/>
  </w:style>
  <w:style w:type="paragraph" w:styleId="LeftAlign1">
    <w:name w:val="Left Align 1"/>
    <w:basedOn w:val="Normal"/>
    <w:qFormat/>
    <w:pPr>
      <w:spacing w:before="260" w:after="0"/>
    </w:pPr>
    <w:rPr/>
  </w:style>
  <w:style w:type="paragraph" w:styleId="LeftAlign2">
    <w:name w:val="Left Align 2"/>
    <w:basedOn w:val="Normal"/>
    <w:qFormat/>
    <w:pPr>
      <w:spacing w:lineRule="exact" w:line="520"/>
    </w:pPr>
    <w:rPr/>
  </w:style>
  <w:style w:type="paragraph" w:styleId="SignatureBlock">
    <w:name w:val="Signature Block"/>
    <w:basedOn w:val="Normal"/>
    <w:qFormat/>
    <w:pPr>
      <w:ind w:hanging="0" w:start="4680" w:end="0"/>
    </w:pPr>
    <w:rPr/>
  </w:style>
  <w:style w:type="paragraph" w:styleId="Footer">
    <w:name w:val="footer"/>
    <w:basedOn w:val="Normal"/>
    <w:pPr>
      <w:tabs>
        <w:tab w:val="clear" w:pos="720"/>
        <w:tab w:val="center" w:pos="4320" w:leader="none"/>
        <w:tab w:val="right" w:pos="8640" w:leader="none"/>
      </w:tabs>
      <w:spacing w:lineRule="exact" w:line="260"/>
    </w:pPr>
    <w:rPr/>
  </w:style>
  <w:style w:type="paragraph" w:styleId="FootnoteText">
    <w:name w:val="footnote text"/>
    <w:basedOn w:val="Normal"/>
    <w:pPr>
      <w:spacing w:before="0" w:after="120"/>
    </w:pPr>
    <w:rPr/>
  </w:style>
  <w:style w:type="paragraph" w:styleId="EnvelopeReturn">
    <w:name w:val="envelope return"/>
    <w:basedOn w:val="Normal"/>
    <w:pPr>
      <w:spacing w:lineRule="exact" w:line="260"/>
    </w:pPr>
    <w:rPr>
      <w:sz w:val="20"/>
    </w:rPr>
  </w:style>
  <w:style w:type="paragraph" w:styleId="EnvelopeAddress">
    <w:name w:val="envelope address"/>
    <w:basedOn w:val="Normal"/>
    <w:pPr>
      <w:spacing w:lineRule="exact" w:line="260"/>
      <w:ind w:hanging="0" w:start="288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2000-12-14T20:01:00Z</dcterms:created>
  <dc:creator>DSMO</dc:creator>
  <dc:description/>
  <dc:language>en-CA</dc:language>
  <cp:lastModifiedBy>DSMO</cp:lastModifiedBy>
  <cp:lastPrinted>2000-12-15T11:23:00Z</cp:lastPrinted>
  <dcterms:modified xsi:type="dcterms:W3CDTF">2000-12-15T13:53:00Z</dcterms:modified>
  <cp:revision>31</cp:revision>
  <dc:subject/>
  <dc:title>Hendricks removal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QF2Z01!.DOC</vt:lpwstr>
  </property>
  <property fmtid="{D5CDD505-2E9C-101B-9397-08002B2CF9AE}" pid="3" name="DOCSDocVer">
    <vt:lpwstr>1</vt:lpwstr>
  </property>
  <property fmtid="{D5CDD505-2E9C-101B-9397-08002B2CF9AE}" pid="4" name="DOCSNumber">
    <vt:lpwstr>1232603</vt:lpwstr>
  </property>
</Properties>
</file>