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PAUL, HASTINGS, JANOFSKY</w:t>
      </w:r>
    </w:p>
    <w:p>
      <w:pPr>
        <w:pStyle w:val="Normal"/>
        <w:rPr/>
      </w:pPr>
      <w:r>
        <w:rPr>
          <w:rFonts w:eastAsia="Galliard"/>
        </w:rPr>
        <w:t xml:space="preserve">  </w:t>
      </w:r>
      <w:r>
        <w:rPr/>
        <w:t>&amp; WALKER LLP</w:t>
      </w:r>
    </w:p>
    <w:p>
      <w:pPr>
        <w:pStyle w:val="Normal"/>
        <w:rPr/>
      </w:pPr>
      <w:r>
        <w:rPr/>
        <w:t>John A. Reding  (XXXX)</w:t>
      </w:r>
    </w:p>
    <w:p>
      <w:pPr>
        <w:pStyle w:val="Normal"/>
        <w:rPr/>
      </w:pPr>
      <w:r>
        <w:rPr/>
        <w:t>345 California Street</w:t>
      </w:r>
    </w:p>
    <w:p>
      <w:pPr>
        <w:pStyle w:val="Normal"/>
        <w:rPr/>
      </w:pPr>
      <w:r>
        <w:rPr/>
        <w:t>San Francisco CA 94104-2635</w:t>
      </w:r>
    </w:p>
    <w:p>
      <w:pPr>
        <w:pStyle w:val="Normal"/>
        <w:rPr/>
      </w:pPr>
      <w:r>
        <w:rPr/>
      </w:r>
    </w:p>
    <w:p>
      <w:pPr>
        <w:pStyle w:val="Normal"/>
        <w:rPr/>
      </w:pPr>
      <w:r>
        <w:rPr/>
        <w:t>On behalf of all defendants</w:t>
      </w:r>
    </w:p>
    <w:p>
      <w:pPr>
        <w:pStyle w:val="Normal"/>
        <w:jc w:val="center"/>
        <w:rPr/>
      </w:pPr>
      <w:r>
        <w:rPr/>
      </w:r>
    </w:p>
    <w:p>
      <w:pPr>
        <w:pStyle w:val="Normal"/>
        <w:jc w:val="center"/>
        <w:rPr/>
      </w:pPr>
      <w:r>
        <mc:AlternateContent>
          <mc:Choice Requires="wps">
            <w:drawing>
              <wp:anchor behindDoc="0" distT="0" distB="0" distL="114935" distR="114935" simplePos="0" locked="0" layoutInCell="1" allowOverlap="1" relativeHeight="5">
                <wp:simplePos x="0" y="0"/>
                <wp:positionH relativeFrom="column">
                  <wp:posOffset>-822960</wp:posOffset>
                </wp:positionH>
                <wp:positionV relativeFrom="paragraph">
                  <wp:posOffset>635</wp:posOffset>
                </wp:positionV>
                <wp:extent cx="91440" cy="91440"/>
                <wp:effectExtent l="5080" t="5080" r="5080" b="5080"/>
                <wp:wrapNone/>
                <wp:docPr id="1" name=""/>
                <a:graphic xmlns:a="http://schemas.openxmlformats.org/drawingml/2006/main">
                  <a:graphicData uri="http://schemas.microsoft.com/office/word/2010/wordprocessingShape">
                    <wps:wsp>
                      <wps:cNvSpPr/>
                      <wps:spPr>
                        <a:xfrm>
                          <a:off x="0" y="0"/>
                          <a:ext cx="91440" cy="91440"/>
                        </a:xfrm>
                        <a:prstGeom prst="rect">
                          <a:avLst/>
                        </a:prstGeom>
                        <a:solidFill>
                          <a:srgbClr val="ffffff"/>
                        </a:solidFill>
                        <a:ln w="9360">
                          <a:solidFill>
                            <a:srgbClr val="ffffff"/>
                          </a:solidFill>
                          <a:miter/>
                        </a:ln>
                      </wps:spPr>
                      <wps:style>
                        <a:lnRef idx="0"/>
                        <a:fillRef idx="0"/>
                        <a:effectRef idx="0"/>
                        <a:fontRef idx="minor"/>
                      </wps:style>
                      <wps:bodyPr/>
                    </wps:wsp>
                  </a:graphicData>
                </a:graphic>
              </wp:anchor>
            </w:drawing>
          </mc:Choice>
          <mc:Fallback>
            <w:pict>
              <v:rect id="shape_0" fillcolor="white" stroked="t" o:allowincell="f" style="position:absolute;margin-left:-64.8pt;margin-top:0pt;width:7.15pt;height:7.15pt;mso-wrap-style:none;v-text-anchor:middle">
                <v:fill o:detectmouseclick="t" type="solid" color2="black"/>
                <v:stroke color="white" weight="9360" joinstyle="miter" endcap="flat"/>
                <w10:wrap type="none"/>
              </v:rect>
            </w:pict>
          </mc:Fallback>
        </mc:AlternateContent>
      </w:r>
      <w:r>
        <w:rPr/>
        <w:t>UNITED STATES DISTRICT COURT</w:t>
      </w:r>
    </w:p>
    <w:p>
      <w:pPr>
        <w:pStyle w:val="Normal"/>
        <w:jc w:val="center"/>
        <w:rPr/>
      </w:pPr>
      <w:r>
        <w:rPr/>
        <w:t>SOUTHERN DISTRICT OF CALIFORNIA</w:t>
      </w:r>
    </w:p>
    <w:p>
      <w:pPr>
        <w:pStyle w:val="Normal"/>
        <w:jc w:val="center"/>
        <w:rPr/>
      </w:pPr>
      <w:r>
        <w:rPr/>
      </w:r>
    </w:p>
    <w:p>
      <w:pPr>
        <w:pStyle w:val="Normal"/>
        <w:jc w:val="center"/>
        <w:rPr/>
      </w:pPr>
      <w:r>
        <w:rPr/>
      </w:r>
    </w:p>
    <w:p>
      <w:pPr>
        <w:pStyle w:val="Normal"/>
        <w:rPr/>
      </w:pPr>
      <w:r>
        <w:rPr/>
        <w:t xml:space="preserve">RUTH HENDRICKS, On Behalf of </w:t>
        <w:tab/>
        <w:t xml:space="preserve">    </w:t>
        <w:tab/>
        <w:t>)</w:t>
        <w:tab/>
        <w:t>Case No.</w:t>
        <w:br/>
        <w:t xml:space="preserve">Herself and All Others Similarly Situated </w:t>
        <w:tab/>
        <w:t xml:space="preserve">    </w:t>
        <w:tab/>
        <w:t>)</w:t>
        <w:br/>
        <w:t>and on Behalf of the General Public,</w:t>
        <w:tab/>
        <w:t xml:space="preserve">    </w:t>
        <w:tab/>
        <w:t>)</w:t>
        <w:tab/>
        <w:t xml:space="preserve">NOTICE OF REMOVAL </w:t>
      </w:r>
    </w:p>
    <w:p>
      <w:pPr>
        <w:pStyle w:val="Normal"/>
        <w:rPr/>
      </w:pPr>
      <w:r>
        <w:rPr/>
        <w:tab/>
        <w:tab/>
        <w:tab/>
        <w:tab/>
        <w:tab/>
        <w:tab/>
        <w:t xml:space="preserve">    </w:t>
        <w:tab/>
        <w:t>)</w:t>
        <w:tab/>
        <w:tab/>
        <w:t xml:space="preserve"> </w:t>
      </w:r>
    </w:p>
    <w:p>
      <w:pPr>
        <w:pStyle w:val="Normal"/>
        <w:rPr/>
      </w:pPr>
      <w:r>
        <w:rPr/>
        <w:tab/>
        <w:tab/>
        <w:tab/>
        <w:tab/>
        <w:t>Plaintiff,</w:t>
        <w:tab/>
        <w:tab/>
        <w:t xml:space="preserve">) </w:t>
      </w:r>
    </w:p>
    <w:p>
      <w:pPr>
        <w:pStyle w:val="Normal"/>
        <w:rPr/>
      </w:pPr>
      <w:r>
        <w:rPr/>
        <w:tab/>
        <w:tab/>
        <w:tab/>
        <w:tab/>
        <w:tab/>
        <w:tab/>
        <w:t xml:space="preserve">    </w:t>
        <w:tab/>
        <w:t>)</w:t>
      </w:r>
    </w:p>
    <w:p>
      <w:pPr>
        <w:pStyle w:val="Normal"/>
        <w:rPr/>
      </w:pPr>
      <w:r>
        <w:rPr/>
        <w:tab/>
        <w:tab/>
        <w:t>v.</w:t>
        <w:tab/>
        <w:tab/>
        <w:tab/>
        <w:tab/>
        <w:t xml:space="preserve">    </w:t>
        <w:tab/>
        <w:t>)</w:t>
      </w:r>
    </w:p>
    <w:p>
      <w:pPr>
        <w:pStyle w:val="Normal"/>
        <w:rPr/>
      </w:pPr>
      <w:r>
        <w:rPr/>
        <w:tab/>
        <w:tab/>
        <w:tab/>
        <w:tab/>
        <w:tab/>
        <w:tab/>
        <w:t xml:space="preserve">    </w:t>
        <w:tab/>
        <w:t>)</w:t>
        <w:tab/>
      </w:r>
    </w:p>
    <w:p>
      <w:pPr>
        <w:pStyle w:val="Normal"/>
        <w:rPr/>
      </w:pPr>
      <w:r>
        <w:rPr/>
        <w:t xml:space="preserve">DYNERGY POWER MARKETING, INC., </w:t>
        <w:tab/>
        <w:t>)</w:t>
      </w:r>
    </w:p>
    <w:p>
      <w:pPr>
        <w:pStyle w:val="Normal"/>
        <w:rPr/>
      </w:pPr>
      <w:r>
        <w:rPr/>
        <w:t>ENRON ENERGY SERVICES, ENRON</w:t>
        <w:tab/>
        <w:tab/>
        <w:t>)</w:t>
      </w:r>
    </w:p>
    <w:p>
      <w:pPr>
        <w:pStyle w:val="Normal"/>
        <w:rPr/>
      </w:pPr>
      <w:r>
        <w:rPr/>
        <w:t xml:space="preserve">POWER MARKETING INC., PG&amp;E </w:t>
        <w:tab/>
        <w:tab/>
        <w:t>)</w:t>
      </w:r>
    </w:p>
    <w:p>
      <w:pPr>
        <w:pStyle w:val="Normal"/>
        <w:rPr/>
      </w:pPr>
      <w:r>
        <w:rPr/>
        <w:t xml:space="preserve">ENERGY TRADING, RELIANT ENERGY </w:t>
        <w:tab/>
        <w:t>)</w:t>
      </w:r>
    </w:p>
    <w:p>
      <w:pPr>
        <w:pStyle w:val="Normal"/>
        <w:rPr/>
      </w:pPr>
      <w:r>
        <w:rPr/>
        <w:t xml:space="preserve">SERVICES, INC., SEMPRA ENERGY </w:t>
        <w:tab/>
        <w:tab/>
        <w:t>)</w:t>
      </w:r>
    </w:p>
    <w:p>
      <w:pPr>
        <w:pStyle w:val="Normal"/>
        <w:rPr/>
      </w:pPr>
      <w:r>
        <w:rPr/>
        <w:t>TRADING, SEMPRA ENERGY RESOURCES,</w:t>
        <w:tab/>
        <w:t xml:space="preserve">) </w:t>
      </w:r>
    </w:p>
    <w:p>
      <w:pPr>
        <w:pStyle w:val="Normal"/>
        <w:rPr/>
      </w:pPr>
      <w:r>
        <w:rPr/>
        <w:t xml:space="preserve">SOUTHERN COMPANY ENERGY </w:t>
        <w:tab/>
        <w:tab/>
        <w:t>)</w:t>
      </w:r>
    </w:p>
    <w:p>
      <w:pPr>
        <w:pStyle w:val="Normal"/>
        <w:rPr/>
      </w:pPr>
      <w:r>
        <w:rPr/>
        <w:t xml:space="preserve">MARKETING, WILLIAMS ENERGY </w:t>
        <w:tab/>
        <w:tab/>
        <w:t>)</w:t>
      </w:r>
    </w:p>
    <w:p>
      <w:pPr>
        <w:pStyle w:val="Normal"/>
        <w:rPr/>
      </w:pPr>
      <w:r>
        <w:rPr/>
        <w:t xml:space="preserve">MARKETING AND TRADING, WILLIAMS </w:t>
        <w:tab/>
        <w:t>)</w:t>
      </w:r>
    </w:p>
    <w:p>
      <w:pPr>
        <w:pStyle w:val="Normal"/>
        <w:rPr/>
      </w:pPr>
      <w:r>
        <w:rPr/>
        <w:t xml:space="preserve">ENERGY SERVICES COMPANY, DUKE </w:t>
        <w:tab/>
        <w:t>)</w:t>
      </w:r>
    </w:p>
    <w:p>
      <w:pPr>
        <w:pStyle w:val="Normal"/>
        <w:rPr/>
      </w:pPr>
      <w:r>
        <w:rPr/>
        <w:t xml:space="preserve">ENERGY TRADING AND MARKETING </w:t>
        <w:tab/>
        <w:t>)</w:t>
      </w:r>
    </w:p>
    <w:p>
      <w:pPr>
        <w:pStyle w:val="Normal"/>
        <w:rPr/>
      </w:pPr>
      <w:r>
        <w:rPr/>
        <w:t xml:space="preserve">LLC, NRG ENERGY, MORGAN STANLEY </w:t>
        <w:tab/>
        <w:t>)</w:t>
      </w:r>
    </w:p>
    <w:p>
      <w:pPr>
        <w:pStyle w:val="Normal"/>
        <w:rPr/>
      </w:pPr>
      <w:r>
        <w:rPr/>
        <w:t>CAPITAL GROUP, INC. and DOES 1 through )</w:t>
      </w:r>
    </w:p>
    <w:p>
      <w:pPr>
        <w:pStyle w:val="Normal"/>
        <w:rPr/>
      </w:pPr>
      <w:r>
        <w:rPr/>
        <w:t>200, inclusive,</w:t>
        <w:tab/>
        <w:tab/>
        <w:tab/>
        <w:tab/>
        <w:t xml:space="preserve">    </w:t>
        <w:tab/>
        <w:t>)</w:t>
      </w:r>
    </w:p>
    <w:p>
      <w:pPr>
        <w:pStyle w:val="Normal"/>
        <w:rPr/>
      </w:pPr>
      <w:r>
        <w:rPr/>
        <w:tab/>
        <w:tab/>
        <w:tab/>
        <w:tab/>
        <w:tab/>
        <w:tab/>
        <w:t xml:space="preserve">    </w:t>
        <w:tab/>
        <w:t>)</w:t>
      </w:r>
    </w:p>
    <w:p>
      <w:pPr>
        <w:pStyle w:val="Normal"/>
        <w:rPr/>
      </w:pPr>
      <w:r>
        <w:rPr/>
        <w:tab/>
        <w:tab/>
        <w:tab/>
        <w:tab/>
        <w:t>Defendants.</w:t>
        <w:tab/>
        <w:tab/>
        <w:t>)</w:t>
      </w:r>
    </w:p>
    <w:p>
      <w:pPr>
        <w:pStyle w:val="Normal"/>
        <w:rPr/>
      </w:pPr>
      <w:r>
        <w:rPr/>
        <w:t>_____________________________________</w:t>
        <w:softHyphen/>
        <w:softHyphen/>
        <w:t>_____)</w:t>
      </w:r>
    </w:p>
    <w:p>
      <w:pPr>
        <w:pStyle w:val="Normal"/>
        <w:rPr/>
      </w:pPr>
      <w:r>
        <w:rPr/>
      </w:r>
    </w:p>
    <w:p>
      <w:pPr>
        <w:pStyle w:val="BodyTextStyle"/>
        <w:rPr/>
      </w:pPr>
      <w:r>
        <w:rPr/>
        <w:t xml:space="preserve">All defendants named in </w:t>
      </w:r>
      <w:r>
        <w:rPr>
          <w:u w:val="single"/>
        </w:rPr>
        <w:t>Ruth Hendricks v. Dynergy Power Marketing, Inc., et al.</w:t>
      </w:r>
      <w:r>
        <w:rPr/>
        <w:t xml:space="preserve">, filed as Case No. GIC 758565 in the Superior Court of the State of California in and for the County of San Diego (“the </w:t>
      </w:r>
      <w:r>
        <w:rPr>
          <w:u w:val="single"/>
        </w:rPr>
        <w:t>Hendricks</w:t>
      </w:r>
      <w:r>
        <w:rPr/>
        <w:t xml:space="preserve"> case”),</w:t>
      </w:r>
      <w:r>
        <w:rPr>
          <w:rStyle w:val="FootnoteCharacters"/>
          <w:rStyle w:val="FootnoteReference"/>
        </w:rPr>
        <w:footnoteReference w:id="2"/>
      </w:r>
      <w:r>
        <w:rPr/>
        <w:t xml:space="preserve"> hereby give notice that this case is removed to the United States District Court for the Southern District of California pursuant to 28 U.S.C. §§ 1441 and 1446.  A copy of the Complaint in the </w:t>
      </w:r>
      <w:r>
        <w:rPr>
          <w:u w:val="single"/>
        </w:rPr>
        <w:t>Hendricks</w:t>
      </w:r>
      <w:r>
        <w:rPr/>
        <w:t xml:space="preserve"> case is attached hereto as Exhibit 1; there have been no other pleadings or orders.  This Notice is timely as to all defendants under 28 U.S.C. § 1446(b).</w:t>
      </w:r>
    </w:p>
    <w:p>
      <w:pPr>
        <w:pStyle w:val="BodyTextStyle"/>
        <w:rPr/>
      </w:pPr>
      <w:r>
        <w:rPr/>
        <w:t>A short and plain statement of the grounds for removal follows.</w:t>
      </w:r>
    </w:p>
    <w:p>
      <w:pPr>
        <w:pStyle w:val="Heading7"/>
        <w:ind w:hanging="0" w:start="0"/>
        <w:rPr/>
      </w:pPr>
      <w:r>
        <w:rPr/>
        <w:t xml:space="preserve">This is a civil action of which this Court has original jurisdiction (1) under section 317 of the Federal Power Act, 16 U.S.C. § 825p, which gives the federal district courts “exclusive jurisdiction . . . of all suits in equity and actions at law brought to enforce any liability or duty created by, or to enjoin any violation of, [the Federal Power Act, 16 U.S.C. § 824 </w:t>
      </w:r>
      <w:r>
        <w:rPr>
          <w:u w:val="single"/>
        </w:rPr>
        <w:t>et</w:t>
      </w:r>
      <w:r>
        <w:rPr/>
        <w:t xml:space="preserve"> </w:t>
      </w:r>
      <w:r>
        <w:rPr>
          <w:u w:val="single"/>
        </w:rPr>
        <w:t>seq.</w:t>
      </w:r>
      <w:r>
        <w:rPr/>
        <w:t>] or any rule, regulation or order thereunder,” as well as (2) under 28 U.S.C. § 1331, which gives the federal district courts “original jurisdiction of all civil actions arising under the . . . laws . . . of the United States,” and (3) insofar as any claim might otherwise be deemed to be outside the jurisdiction of the federal district courts, under 28 U.S.C. § 1367(a), which gives a federal district court “supplemental jurisdiction over all other claims that are so related to claims in the action within [the court’s ] original jurisdiction that they form part of the same case or controversy.”</w:t>
      </w:r>
    </w:p>
    <w:p>
      <w:pPr>
        <w:pStyle w:val="Heading7"/>
        <w:ind w:hanging="0" w:start="0"/>
        <w:rPr/>
      </w:pPr>
      <w:r>
        <w:rPr/>
        <w:t xml:space="preserve">The </w:t>
      </w:r>
      <w:r>
        <w:rPr>
          <w:u w:val="single"/>
        </w:rPr>
        <w:t>Hendricks</w:t>
      </w:r>
      <w:r>
        <w:rPr/>
        <w:t xml:space="preserve"> complaint, which purports to bring a class action on behalf of all persons in California who have purchased electricity from certain public utilities,</w:t>
      </w:r>
      <w:r>
        <w:rPr>
          <w:rStyle w:val="FootnoteCharacters"/>
          <w:rStyle w:val="FootnoteReference"/>
        </w:rPr>
        <w:footnoteReference w:id="3"/>
      </w:r>
      <w:r>
        <w:rPr/>
        <w:t xml:space="preserve"> seeks damages and injunctive relief for alleged overcharges by defendants in supplying electricity at wholesale to those utilities.  The </w:t>
      </w:r>
      <w:r>
        <w:rPr>
          <w:u w:val="single"/>
        </w:rPr>
        <w:t>Hendricks</w:t>
      </w:r>
      <w:r>
        <w:rPr/>
        <w:t xml:space="preserve"> complaint alleges that defendants have unlawfully deprived Californians of “a reliable supply of electricity at just and reasonable prices” (¶ 4) and that defendants have engaged in conduct that “offends public policy” with respect to their wholesale rates and charges (¶ 51).  The </w:t>
      </w:r>
      <w:r>
        <w:rPr>
          <w:u w:val="single"/>
        </w:rPr>
        <w:t>Hendricks</w:t>
      </w:r>
      <w:r>
        <w:rPr/>
        <w:t xml:space="preserve"> complaint recognizes the involvement of the Federal Energy Regulatory Commission (“FERC”) in the provision of wholesale electric energy to the California market (¶ 28).</w:t>
      </w:r>
    </w:p>
    <w:p>
      <w:pPr>
        <w:pStyle w:val="Heading7"/>
        <w:ind w:hanging="0" w:start="0"/>
        <w:rPr/>
      </w:pPr>
      <w:r>
        <w:rPr/>
        <w:t xml:space="preserve">The </w:t>
      </w:r>
      <w:r>
        <w:rPr>
          <w:u w:val="single"/>
        </w:rPr>
        <w:t>Hendricks</w:t>
      </w:r>
      <w:r>
        <w:rPr/>
        <w:t xml:space="preserve"> complaint as a whole is necessarily and inherently federal in character because it challenges rates and charges whose lawfulness is governed exclusively by the Federal Power Act (“the Act”) and tariffs filed thereunder, and seeks refunds of such rates and charges and injunctive and other equitable relief to control such rates and charges for the future.  Any challenge to such rates and charges necessarily and inherently constitutes a claim that they are in violation of the Act.  Under 28 U.S.C. § 1331 and section 317 of the Act, 16 U.S.C. § 825p, the federal district courts have exclusive jurisdiction over any lawsuit asserting any such claim of violation of the Act and seeking damages or other relief with respect thereto, as the </w:t>
      </w:r>
      <w:r>
        <w:rPr>
          <w:u w:val="single"/>
        </w:rPr>
        <w:t>Hendricks</w:t>
      </w:r>
      <w:r>
        <w:rPr/>
        <w:t xml:space="preserve"> complaint does.  The </w:t>
      </w:r>
      <w:r>
        <w:rPr>
          <w:u w:val="single"/>
        </w:rPr>
        <w:t>Hendricks</w:t>
      </w:r>
      <w:r>
        <w:rPr/>
        <w:t xml:space="preserve"> complaint is therefore removable as a whole under 28 U.S.C. § 1441(a) and (b).</w:t>
      </w:r>
    </w:p>
    <w:p>
      <w:pPr>
        <w:pStyle w:val="Heading7"/>
        <w:ind w:hanging="0" w:start="0"/>
        <w:rPr/>
      </w:pPr>
      <w:r>
        <w:rPr/>
        <w:t xml:space="preserve">The subject matter of the </w:t>
      </w:r>
      <w:r>
        <w:rPr>
          <w:u w:val="single"/>
        </w:rPr>
        <w:t>Hendricks</w:t>
      </w:r>
      <w:r>
        <w:rPr/>
        <w:t xml:space="preserve"> complaint is completely preempted by the exclusive scheme created by the Federal Power Act to govern such wholesale electricity rates, including </w:t>
      </w:r>
      <w:r>
        <w:rPr>
          <w:u w:val="single"/>
        </w:rPr>
        <w:t>inter</w:t>
      </w:r>
      <w:r>
        <w:rPr/>
        <w:t xml:space="preserve"> </w:t>
      </w:r>
      <w:r>
        <w:rPr>
          <w:u w:val="single"/>
        </w:rPr>
        <w:t>alia</w:t>
      </w:r>
      <w:r>
        <w:rPr/>
        <w:t xml:space="preserve"> sections 201, 205, 206 and 317, 16 U.S.C. §§ 824, 824d, 824e and 825p.  The </w:t>
      </w:r>
      <w:r>
        <w:rPr>
          <w:u w:val="single"/>
        </w:rPr>
        <w:t>Hendricks</w:t>
      </w:r>
      <w:r>
        <w:rPr/>
        <w:t xml:space="preserve"> complaint as a whole is therefore removable as an attempted “artful pleading” in state law terms of claims which are necessarily federal.</w:t>
      </w:r>
    </w:p>
    <w:p>
      <w:pPr>
        <w:pStyle w:val="Heading7"/>
        <w:ind w:hanging="0" w:start="0"/>
        <w:rPr/>
      </w:pPr>
      <w:r>
        <w:rPr/>
        <w:t xml:space="preserve">All claims alleged in the </w:t>
      </w:r>
      <w:r>
        <w:rPr>
          <w:u w:val="single"/>
        </w:rPr>
        <w:t>Hendricks</w:t>
      </w:r>
      <w:r>
        <w:rPr/>
        <w:t xml:space="preserve"> complaint form parts of the same case or controversy within the meaning of 28 U.S.C. § 1367(a).  Accordingly, in the alternative, this Court has supplemental jurisdiction under 28 U.S.C. § 1367(a) over any claim asserted in the </w:t>
      </w:r>
      <w:r>
        <w:rPr>
          <w:u w:val="single"/>
        </w:rPr>
        <w:t>Hendricks</w:t>
      </w:r>
      <w:r>
        <w:rPr/>
        <w:t xml:space="preserve"> complaint as to which this court might be deemed to lack independent federal jurisdiction, and each such claim is removable under 28 U.S.C. § 1441(a) and (b).  </w:t>
      </w:r>
    </w:p>
    <w:p>
      <w:pPr>
        <w:pStyle w:val="SignatureBlock"/>
        <w:rPr/>
      </w:pPr>
      <w:r>
        <w:rPr/>
      </w:r>
    </w:p>
    <w:p>
      <w:pPr>
        <w:pStyle w:val="SignatureBlock"/>
        <w:rPr/>
      </w:pPr>
      <w:r>
        <w:rPr/>
      </w:r>
    </w:p>
    <w:p>
      <w:pPr>
        <w:pStyle w:val="SignatureBlock"/>
        <w:rPr/>
      </w:pPr>
      <w:r>
        <w:rPr/>
      </w:r>
    </w:p>
    <w:p>
      <w:pPr>
        <w:pStyle w:val="SignatureBlock"/>
        <w:rPr/>
      </w:pPr>
      <w:r>
        <w:rPr/>
        <w:softHyphen/>
        <w:softHyphen/>
        <w:softHyphen/>
        <w:softHyphen/>
        <w:softHyphen/>
        <w:softHyphen/>
        <w:softHyphen/>
        <w:t>__________________________________</w:t>
      </w:r>
    </w:p>
    <w:p>
      <w:pPr>
        <w:pStyle w:val="SignatureBlock"/>
        <w:rPr/>
      </w:pPr>
      <w:r>
        <w:rPr/>
        <w:t>PAUL, HASTINGS, JANOFSKY</w:t>
      </w:r>
    </w:p>
    <w:p>
      <w:pPr>
        <w:pStyle w:val="SignatureBlock"/>
        <w:rPr/>
      </w:pPr>
      <w:r>
        <w:rPr>
          <w:rFonts w:eastAsia="Galliard"/>
        </w:rPr>
        <w:t xml:space="preserve">  </w:t>
      </w:r>
      <w:r>
        <w:rPr/>
        <w:t>&amp; WALKER LLP</w:t>
      </w:r>
    </w:p>
    <w:p>
      <w:pPr>
        <w:pStyle w:val="SignatureBlock"/>
        <w:rPr/>
      </w:pPr>
      <w:r>
        <w:rPr/>
        <w:t>John A. Reding  (XXXX)</w:t>
      </w:r>
    </w:p>
    <w:p>
      <w:pPr>
        <w:pStyle w:val="SignatureBlock"/>
        <w:rPr/>
      </w:pPr>
      <w:r>
        <w:rPr/>
        <w:t>345 California Street</w:t>
      </w:r>
    </w:p>
    <w:p>
      <w:pPr>
        <w:pStyle w:val="SignatureBlock"/>
        <w:rPr/>
      </w:pPr>
      <w:r>
        <w:rPr/>
        <w:t>San Francisco CA 94104-2635</w:t>
      </w:r>
    </w:p>
    <w:p>
      <w:pPr>
        <w:pStyle w:val="SignatureBlock"/>
        <w:rPr/>
      </w:pPr>
      <w:r>
        <w:rPr/>
      </w:r>
    </w:p>
    <w:p>
      <w:pPr>
        <w:pStyle w:val="SignatureBlock"/>
        <w:rPr/>
      </w:pPr>
      <w:r>
        <w:rPr/>
        <w:t>On behalf of all defendants</w:t>
      </w:r>
    </w:p>
    <w:p>
      <w:pPr>
        <w:pStyle w:val="SignatureBlock"/>
        <w:rPr/>
      </w:pPr>
      <w:r>
        <w:rPr/>
      </w:r>
    </w:p>
    <w:sectPr>
      <w:headerReference w:type="default" r:id="rId2"/>
      <w:headerReference w:type="first" r:id="rId3"/>
      <w:footerReference w:type="default" r:id="rId4"/>
      <w:footerReference w:type="first" r:id="rId5"/>
      <w:footnotePr>
        <w:numFmt w:val="decimal"/>
      </w:footnotePr>
      <w:type w:val="nextPage"/>
      <w:pgSz w:w="12240" w:h="15840"/>
      <w:pgMar w:left="1440" w:right="1440" w:gutter="0" w:header="432"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lliard">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76835" cy="165100"/>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6510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p>
    <w:pPr>
      <w:pStyle w:val="Footer"/>
      <w:rPr/>
    </w:pPr>
    <w:r>
      <w:rPr>
        <w:rFonts w:cs="Arial" w:ascii="Arial" w:hAnsi="Arial"/>
        <w:sz w:val="12"/>
      </w:rPr>
      <w:fldChar w:fldCharType="begin"/>
    </w:r>
    <w:r>
      <w:rPr>
        <w:sz w:val="12"/>
        <w:rFonts w:cs="Arial" w:ascii="Arial" w:hAnsi="Arial"/>
      </w:rPr>
      <w:instrText xml:space="preserve"> DOCPROPERTY "DOCSNumber"</w:instrText>
    </w:r>
    <w:r>
      <w:rPr>
        <w:sz w:val="12"/>
        <w:rFonts w:cs="Arial" w:ascii="Arial" w:hAnsi="Arial"/>
      </w:rPr>
      <w:fldChar w:fldCharType="separate"/>
    </w:r>
    <w:r>
      <w:rPr>
        <w:sz w:val="12"/>
        <w:rFonts w:cs="Arial" w:ascii="Arial" w:hAnsi="Arial"/>
      </w:rPr>
      <w:t>1231034</w:t>
    </w:r>
    <w:r>
      <w:rPr>
        <w:sz w:val="12"/>
        <w:rFonts w:cs="Arial" w:ascii="Arial" w:hAnsi="Arial"/>
      </w:rPr>
      <w:fldChar w:fldCharType="end"/>
    </w:r>
    <w:r>
      <w:rPr>
        <w:rFonts w:eastAsia="Arial" w:cs="Arial" w:ascii="Arial" w:hAnsi="Arial"/>
        <w:sz w:val="12"/>
      </w:rPr>
      <w:t xml:space="preserve"> </w:t>
    </w:r>
    <w:r>
      <w:rPr>
        <w:rFonts w:cs="Arial" w:ascii="Arial" w:hAnsi="Arial"/>
        <w:sz w:val="12"/>
      </w:rPr>
      <w:t>v</w:t>
    </w:r>
    <w:r>
      <w:rPr>
        <w:rFonts w:cs="Arial" w:ascii="Arial" w:hAnsi="Arial"/>
        <w:sz w:val="12"/>
      </w:rPr>
      <w:fldChar w:fldCharType="begin"/>
    </w:r>
    <w:r>
      <w:rPr>
        <w:sz w:val="12"/>
        <w:rFonts w:cs="Arial" w:ascii="Arial" w:hAnsi="Arial"/>
      </w:rPr>
      <w:instrText xml:space="preserve"> DOCPROPERTY "DOCSDocVer"</w:instrText>
    </w:r>
    <w:r>
      <w:rPr>
        <w:sz w:val="12"/>
        <w:rFonts w:cs="Arial" w:ascii="Arial" w:hAnsi="Arial"/>
      </w:rPr>
      <w:fldChar w:fldCharType="separate"/>
    </w:r>
    <w:r>
      <w:rPr>
        <w:sz w:val="12"/>
        <w:rFonts w:cs="Arial" w:ascii="Arial" w:hAnsi="Arial"/>
      </w:rPr>
      <w:t>1</w:t>
    </w:r>
    <w:r>
      <w:rPr>
        <w:sz w:val="12"/>
        <w:rFonts w:cs="Arial" w:ascii="Arial" w:hAnsi="Arial"/>
      </w:rPr>
      <w:fldChar w:fldCharType="end"/>
    </w:r>
    <w:r>
      <w:rPr>
        <w:rFonts w:cs="Arial" w:ascii="Arial" w:hAnsi="Arial"/>
        <w:sz w:val="12"/>
      </w:rPr>
      <w:t xml:space="preserve">; </w:t>
    </w:r>
    <w:r>
      <w:rPr>
        <w:rFonts w:cs="Arial" w:ascii="Arial" w:hAnsi="Arial"/>
        <w:sz w:val="12"/>
      </w:rPr>
      <w:fldChar w:fldCharType="begin"/>
    </w:r>
    <w:r>
      <w:rPr>
        <w:sz w:val="12"/>
        <w:rFonts w:cs="Arial" w:ascii="Arial" w:hAnsi="Arial"/>
      </w:rPr>
      <w:instrText xml:space="preserve"> DOCPROPERTY "DOCS83File"</w:instrText>
    </w:r>
    <w:r>
      <w:rPr>
        <w:sz w:val="12"/>
        <w:rFonts w:cs="Arial" w:ascii="Arial" w:hAnsi="Arial"/>
      </w:rPr>
      <w:fldChar w:fldCharType="separate"/>
    </w:r>
    <w:r>
      <w:rPr>
        <w:sz w:val="12"/>
        <w:rFonts w:cs="Arial" w:ascii="Arial" w:hAnsi="Arial"/>
      </w:rPr>
      <w:t>QDV#01!.DOC</w:t>
    </w:r>
    <w:r>
      <w:rPr>
        <w:sz w:val="12"/>
        <w:rFonts w:cs="Arial" w:ascii="Arial" w:hAnsi="Arial"/>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Fonts w:cs="Arial" w:ascii="Arial" w:hAnsi="Arial"/>
        <w:sz w:val="12"/>
      </w:rPr>
      <w:fldChar w:fldCharType="begin"/>
    </w:r>
    <w:r>
      <w:rPr>
        <w:sz w:val="12"/>
        <w:rFonts w:cs="Arial" w:ascii="Arial" w:hAnsi="Arial"/>
      </w:rPr>
      <w:instrText xml:space="preserve"> DOCPROPERTY "DOCSNumber"</w:instrText>
    </w:r>
    <w:r>
      <w:rPr>
        <w:sz w:val="12"/>
        <w:rFonts w:cs="Arial" w:ascii="Arial" w:hAnsi="Arial"/>
      </w:rPr>
      <w:fldChar w:fldCharType="separate"/>
    </w:r>
    <w:r>
      <w:rPr>
        <w:sz w:val="12"/>
        <w:rFonts w:cs="Arial" w:ascii="Arial" w:hAnsi="Arial"/>
      </w:rPr>
      <w:t>1231034</w:t>
    </w:r>
    <w:r>
      <w:rPr>
        <w:sz w:val="12"/>
        <w:rFonts w:cs="Arial" w:ascii="Arial" w:hAnsi="Arial"/>
      </w:rPr>
      <w:fldChar w:fldCharType="end"/>
    </w:r>
    <w:r>
      <w:rPr>
        <w:rFonts w:eastAsia="Arial" w:cs="Arial" w:ascii="Arial" w:hAnsi="Arial"/>
        <w:sz w:val="12"/>
      </w:rPr>
      <w:t xml:space="preserve"> </w:t>
    </w:r>
    <w:r>
      <w:rPr>
        <w:rFonts w:cs="Arial" w:ascii="Arial" w:hAnsi="Arial"/>
        <w:sz w:val="12"/>
      </w:rPr>
      <w:t>v</w:t>
    </w:r>
    <w:r>
      <w:rPr>
        <w:rFonts w:cs="Arial" w:ascii="Arial" w:hAnsi="Arial"/>
        <w:sz w:val="12"/>
      </w:rPr>
      <w:fldChar w:fldCharType="begin"/>
    </w:r>
    <w:r>
      <w:rPr>
        <w:sz w:val="12"/>
        <w:rFonts w:cs="Arial" w:ascii="Arial" w:hAnsi="Arial"/>
      </w:rPr>
      <w:instrText xml:space="preserve"> DOCPROPERTY "DOCSDocVer"</w:instrText>
    </w:r>
    <w:r>
      <w:rPr>
        <w:sz w:val="12"/>
        <w:rFonts w:cs="Arial" w:ascii="Arial" w:hAnsi="Arial"/>
      </w:rPr>
      <w:fldChar w:fldCharType="separate"/>
    </w:r>
    <w:r>
      <w:rPr>
        <w:sz w:val="12"/>
        <w:rFonts w:cs="Arial" w:ascii="Arial" w:hAnsi="Arial"/>
      </w:rPr>
      <w:t>1</w:t>
    </w:r>
    <w:r>
      <w:rPr>
        <w:sz w:val="12"/>
        <w:rFonts w:cs="Arial" w:ascii="Arial" w:hAnsi="Arial"/>
      </w:rPr>
      <w:fldChar w:fldCharType="end"/>
    </w:r>
    <w:r>
      <w:rPr>
        <w:rFonts w:cs="Arial" w:ascii="Arial" w:hAnsi="Arial"/>
        <w:sz w:val="12"/>
      </w:rPr>
      <w:t xml:space="preserve">; </w:t>
    </w:r>
    <w:r>
      <w:rPr>
        <w:rFonts w:cs="Arial" w:ascii="Arial" w:hAnsi="Arial"/>
        <w:sz w:val="12"/>
      </w:rPr>
      <w:fldChar w:fldCharType="begin"/>
    </w:r>
    <w:r>
      <w:rPr>
        <w:sz w:val="12"/>
        <w:rFonts w:cs="Arial" w:ascii="Arial" w:hAnsi="Arial"/>
      </w:rPr>
      <w:instrText xml:space="preserve"> DOCPROPERTY "DOCS83File"</w:instrText>
    </w:r>
    <w:r>
      <w:rPr>
        <w:sz w:val="12"/>
        <w:rFonts w:cs="Arial" w:ascii="Arial" w:hAnsi="Arial"/>
      </w:rPr>
      <w:fldChar w:fldCharType="separate"/>
    </w:r>
    <w:r>
      <w:rPr>
        <w:sz w:val="12"/>
        <w:rFonts w:cs="Arial" w:ascii="Arial" w:hAnsi="Arial"/>
      </w:rPr>
      <w:t>QDV#01!.DOC</w:t>
    </w:r>
    <w:r>
      <w:rPr>
        <w:sz w:val="12"/>
        <w:rFonts w:cs="Arial" w:ascii="Arial" w:hAnsi="Arial"/>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rPr/>
      </w:pPr>
      <w:r>
        <w:rPr>
          <w:rStyle w:val="FootnoteCharacters"/>
        </w:rPr>
        <w:footnoteRef/>
      </w:r>
      <w:r>
        <w:rPr/>
        <w:t xml:space="preserve"> </w:t>
      </w:r>
      <w:r>
        <w:rPr/>
        <w:tab/>
      </w:r>
      <w:r>
        <w:rPr>
          <w:b/>
          <w:i/>
        </w:rPr>
        <w:t xml:space="preserve">[Check Names] </w:t>
      </w:r>
      <w:r>
        <w:rPr/>
        <w:t xml:space="preserve">Dynegy Power Marketing, Inc., Enron Energy Services, Enron Power Marketing Inc., PG&amp;E Energy Trading, Reliant Energy Services, Inc., Sempra Energy Trading, Sempra Energy Resources, Southern Company Energy Marketing, Williams Energy Marketing And Trading, Williams Energy Services Company, Duke Energy Trading And Marketing LLC, NRG Energy, and Morgan Stanley Capital Group, Inc.  All other “defendants” referred to in the state court complaint are unidentified “Does.” </w:t>
      </w:r>
    </w:p>
  </w:footnote>
  <w:footnote w:id="3">
    <w:p>
      <w:pPr>
        <w:pStyle w:val="FootnoteText"/>
        <w:spacing w:before="0" w:after="120"/>
        <w:rPr/>
      </w:pPr>
      <w:r>
        <w:rPr>
          <w:rStyle w:val="FootnoteCharacters"/>
        </w:rPr>
        <w:footnoteRef/>
      </w:r>
      <w:r>
        <w:rPr/>
        <w:t xml:space="preserve"> </w:t>
      </w:r>
      <w:r>
        <w:rPr/>
        <w:tab/>
        <w:t>San Diego Gas &amp; Electric Company, Southern California Edison and PG&amp;E Corporation.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CONFIDENTIAL AND PRIVILEGED</w:t>
    </w:r>
  </w:p>
  <w:p>
    <w:pPr>
      <w:pStyle w:val="Header"/>
      <w:jc w:val="end"/>
      <w:rPr>
        <w:b/>
      </w:rPr>
    </w:pPr>
    <w:r>
      <w:rPr>
        <w:b/>
      </w:rPr>
      <w:t>WORK PRODUCT</w:t>
    </w:r>
  </w:p>
  <w:p>
    <w:pPr>
      <w:pStyle w:val="Header"/>
      <w:jc w:val="end"/>
      <w:rPr>
        <w:b/>
      </w:rPr>
    </w:pPr>
    <w:r>
      <w:rPr>
        <w:b/>
      </w:rPr>
      <w:t>PROTECTED BY JOINT DEFENSE PRIVILEGE</w:t>
    </w:r>
  </w:p>
  <w:p>
    <w:pPr>
      <w:pStyle w:val="Normal"/>
      <w:jc w:val="end"/>
      <w:rPr>
        <w:b/>
      </w:rPr>
    </w:pPr>
    <w:r>
      <w:rPr>
        <w:b/>
      </w:rPr>
      <w:t>DRAFT  12/15/00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1080"/>
        </w:tabs>
        <w:ind w:start="1080" w:hanging="1080"/>
      </w:pPr>
      <w:rPr>
        <w:u w:val="none"/>
      </w:rPr>
    </w:lvl>
    <w:lvl w:ilvl="1">
      <w:start w:val="1"/>
      <w:pStyle w:val="Heading2"/>
      <w:numFmt w:val="upperLetter"/>
      <w:lvlText w:val="%2."/>
      <w:lvlJc w:val="end"/>
      <w:pPr>
        <w:tabs>
          <w:tab w:val="num" w:pos="1800"/>
        </w:tabs>
        <w:ind w:start="1800" w:hanging="432"/>
      </w:pPr>
      <w:rPr>
        <w:u w:val="none"/>
      </w:rPr>
    </w:lvl>
    <w:lvl w:ilvl="2">
      <w:start w:val="1"/>
      <w:pStyle w:val="Heading3"/>
      <w:numFmt w:val="decimal"/>
      <w:lvlText w:val="%3."/>
      <w:lvlJc w:val="end"/>
      <w:pPr>
        <w:tabs>
          <w:tab w:val="num" w:pos="2520"/>
        </w:tabs>
        <w:ind w:start="2520" w:hanging="504"/>
      </w:pPr>
      <w:rPr>
        <w:u w:val="none"/>
      </w:rPr>
    </w:lvl>
    <w:lvl w:ilvl="3">
      <w:start w:val="1"/>
      <w:pStyle w:val="Heading4"/>
      <w:numFmt w:val="lowerLetter"/>
      <w:lvlText w:val="%4."/>
      <w:lvlJc w:val="end"/>
      <w:pPr>
        <w:tabs>
          <w:tab w:val="num" w:pos="3240"/>
        </w:tabs>
        <w:ind w:start="3240" w:hanging="504"/>
      </w:pPr>
      <w:rPr>
        <w:u w:val="none"/>
      </w:rPr>
    </w:lvl>
    <w:lvl w:ilvl="4">
      <w:start w:val="1"/>
      <w:pStyle w:val="Heading5"/>
      <w:numFmt w:val="lowerRoman"/>
      <w:lvlText w:val="%5."/>
      <w:lvlJc w:val="end"/>
      <w:pPr>
        <w:tabs>
          <w:tab w:val="num" w:pos="3960"/>
        </w:tabs>
        <w:ind w:start="3960" w:hanging="576"/>
      </w:pPr>
      <w:rPr>
        <w:u w:val="none"/>
      </w:rPr>
    </w:lvl>
    <w:lvl w:ilvl="5">
      <w:start w:val="1"/>
      <w:pStyle w:val="Heading6"/>
      <w:numFmt w:val="decimal"/>
      <w:suff w:val="nothing"/>
      <w:lvlText w:val="%6.  "/>
      <w:lvlJc w:val="start"/>
      <w:pPr>
        <w:tabs>
          <w:tab w:val="num" w:pos="0"/>
        </w:tabs>
        <w:ind w:start="0" w:firstLine="1080"/>
      </w:pPr>
      <w:rPr>
        <w:u w:val="none"/>
      </w:rPr>
    </w:lvl>
    <w:lvl w:ilvl="6">
      <w:start w:val="1"/>
      <w:pStyle w:val="Heading7"/>
      <w:numFmt w:val="decimal"/>
      <w:suff w:val="nothing"/>
      <w:lvlText w:val="%7.  "/>
      <w:lvlJc w:val="start"/>
      <w:pPr>
        <w:tabs>
          <w:tab w:val="num" w:pos="0"/>
        </w:tabs>
        <w:ind w:start="0" w:firstLine="1080"/>
      </w:pPr>
      <w:rPr>
        <w:u w:val="none"/>
      </w:rPr>
    </w:lvl>
    <w:lvl w:ilvl="7">
      <w:start w:val="1"/>
      <w:pStyle w:val="Heading8"/>
      <w:numFmt w:val="lowerLetter"/>
      <w:suff w:val="nothing"/>
      <w:lvlText w:val="%8.  "/>
      <w:lvlJc w:val="start"/>
      <w:pPr>
        <w:tabs>
          <w:tab w:val="num" w:pos="0"/>
        </w:tabs>
        <w:ind w:start="0" w:firstLine="1800"/>
      </w:pPr>
      <w:rPr>
        <w:u w:val="none"/>
      </w:rPr>
    </w:lvl>
    <w:lvl w:ilvl="8">
      <w:start w:val="1"/>
      <w:pStyle w:val="Heading9"/>
      <w:numFmt w:val="lowerLetter"/>
      <w:suff w:val="nothing"/>
      <w:lvlText w:val="%9.  "/>
      <w:lvlJc w:val="start"/>
      <w:pPr>
        <w:tabs>
          <w:tab w:val="num" w:pos="0"/>
        </w:tabs>
        <w:ind w:start="0" w:firstLine="1800"/>
      </w:pPr>
      <w:rPr>
        <w:u w:val="none"/>
      </w:rPr>
    </w:lvl>
  </w:abstractNum>
  <w:abstractNum w:abstractNumId="2">
    <w:lvl w:ilvl="0">
      <w:start w:val="1"/>
      <w:numFmt w:val="bullet"/>
      <w:lvlText w:val=""/>
      <w:lvlJc w:val="start"/>
      <w:pPr>
        <w:tabs>
          <w:tab w:val="num" w:pos="2160"/>
        </w:tabs>
        <w:ind w:start="2160" w:hanging="576"/>
      </w:pPr>
      <w:rPr>
        <w:rFonts w:ascii="Symbol" w:hAnsi="Symbol" w:cs="Symbol" w:hint="default"/>
      </w:rPr>
    </w:lvl>
  </w:abstractNum>
  <w:abstractNum w:abstractNumId="3">
    <w:lvl w:ilvl="0">
      <w:start w:val="1"/>
      <w:numFmt w:val="bullet"/>
      <w:lvlText w:val=""/>
      <w:lvlJc w:val="start"/>
      <w:pPr>
        <w:tabs>
          <w:tab w:val="num" w:pos="2736"/>
        </w:tabs>
        <w:ind w:start="2736" w:hanging="576"/>
      </w:pPr>
      <w:rPr>
        <w:rFonts w:ascii="Symbol" w:hAnsi="Symbol" w:cs="Symbol" w:hint="default"/>
        <w:color w:val="auto"/>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exact" w:line="260"/>
    </w:pPr>
    <w:rPr>
      <w:rFonts w:ascii="Galliard" w:hAnsi="Galliard" w:eastAsia="Times New Roman" w:cs="Galliard"/>
      <w:color w:val="auto"/>
      <w:sz w:val="24"/>
      <w:szCs w:val="20"/>
      <w:lang w:val="en-US" w:eastAsia="zh-CN" w:bidi="hi-IN"/>
    </w:rPr>
  </w:style>
  <w:style w:type="paragraph" w:styleId="Heading1">
    <w:name w:val="heading 1"/>
    <w:basedOn w:val="Normal"/>
    <w:next w:val="BodyText"/>
    <w:qFormat/>
    <w:pPr>
      <w:numPr>
        <w:ilvl w:val="0"/>
        <w:numId w:val="1"/>
      </w:numPr>
      <w:spacing w:before="260" w:after="0"/>
      <w:outlineLvl w:val="0"/>
    </w:pPr>
    <w:rPr>
      <w:kern w:val="2"/>
    </w:rPr>
  </w:style>
  <w:style w:type="paragraph" w:styleId="Heading2">
    <w:name w:val="heading 2"/>
    <w:basedOn w:val="Normal"/>
    <w:next w:val="BodyText"/>
    <w:qFormat/>
    <w:pPr>
      <w:numPr>
        <w:ilvl w:val="1"/>
        <w:numId w:val="1"/>
      </w:numPr>
      <w:spacing w:before="260" w:after="0"/>
      <w:outlineLvl w:val="1"/>
    </w:pPr>
    <w:rPr/>
  </w:style>
  <w:style w:type="paragraph" w:styleId="Heading3">
    <w:name w:val="heading 3"/>
    <w:basedOn w:val="Normal"/>
    <w:next w:val="BodyText"/>
    <w:qFormat/>
    <w:pPr>
      <w:numPr>
        <w:ilvl w:val="2"/>
        <w:numId w:val="1"/>
      </w:numPr>
      <w:spacing w:before="260" w:after="0"/>
      <w:outlineLvl w:val="2"/>
    </w:pPr>
    <w:rPr/>
  </w:style>
  <w:style w:type="paragraph" w:styleId="Heading4">
    <w:name w:val="heading 4"/>
    <w:basedOn w:val="Normal"/>
    <w:next w:val="BodyText"/>
    <w:qFormat/>
    <w:pPr>
      <w:numPr>
        <w:ilvl w:val="3"/>
        <w:numId w:val="1"/>
      </w:numPr>
      <w:spacing w:before="260" w:after="0"/>
      <w:outlineLvl w:val="3"/>
    </w:pPr>
    <w:rPr/>
  </w:style>
  <w:style w:type="paragraph" w:styleId="Heading5">
    <w:name w:val="heading 5"/>
    <w:basedOn w:val="Normal"/>
    <w:next w:val="BodyText"/>
    <w:qFormat/>
    <w:pPr>
      <w:numPr>
        <w:ilvl w:val="4"/>
        <w:numId w:val="1"/>
      </w:numPr>
      <w:spacing w:before="260" w:after="0"/>
      <w:outlineLvl w:val="4"/>
    </w:pPr>
    <w:rPr/>
  </w:style>
  <w:style w:type="paragraph" w:styleId="Heading6">
    <w:name w:val="heading 6"/>
    <w:basedOn w:val="Normal"/>
    <w:next w:val="BodyText"/>
    <w:qFormat/>
    <w:pPr>
      <w:numPr>
        <w:ilvl w:val="5"/>
        <w:numId w:val="1"/>
      </w:numPr>
      <w:spacing w:before="260" w:after="0"/>
      <w:outlineLvl w:val="5"/>
    </w:pPr>
    <w:rPr/>
  </w:style>
  <w:style w:type="paragraph" w:styleId="Heading7">
    <w:name w:val="heading 7"/>
    <w:basedOn w:val="Normal"/>
    <w:next w:val="BodyText"/>
    <w:qFormat/>
    <w:pPr>
      <w:numPr>
        <w:ilvl w:val="6"/>
        <w:numId w:val="1"/>
      </w:numPr>
      <w:spacing w:lineRule="exact" w:line="520"/>
      <w:outlineLvl w:val="6"/>
    </w:pPr>
    <w:rPr/>
  </w:style>
  <w:style w:type="paragraph" w:styleId="Heading8">
    <w:name w:val="heading 8"/>
    <w:basedOn w:val="Normal"/>
    <w:next w:val="BodyText"/>
    <w:qFormat/>
    <w:pPr>
      <w:numPr>
        <w:ilvl w:val="7"/>
        <w:numId w:val="1"/>
      </w:numPr>
      <w:spacing w:before="260" w:after="0"/>
      <w:outlineLvl w:val="7"/>
    </w:pPr>
    <w:rPr/>
  </w:style>
  <w:style w:type="paragraph" w:styleId="Heading9">
    <w:name w:val="heading 9"/>
    <w:basedOn w:val="Normal"/>
    <w:next w:val="BodyText"/>
    <w:qFormat/>
    <w:pPr>
      <w:numPr>
        <w:ilvl w:val="8"/>
        <w:numId w:val="1"/>
      </w:numPr>
      <w:spacing w:lineRule="exact" w:line="520"/>
      <w:outlineLvl w:val="8"/>
    </w:pPr>
    <w:rPr/>
  </w:style>
  <w:style w:type="character" w:styleId="WW8Num2z0">
    <w:name w:val="WW8Num2z0"/>
    <w:qFormat/>
    <w:rPr>
      <w:rFonts w:ascii="Symbol" w:hAnsi="Symbol" w:cs="Symbol"/>
    </w:rPr>
  </w:style>
  <w:style w:type="character" w:styleId="WW8Num3z0">
    <w:name w:val="WW8Num3z0"/>
    <w:qFormat/>
    <w:rPr>
      <w:rFonts w:ascii="Symbol" w:hAnsi="Symbol" w:cs="Symbol"/>
      <w:color w:val="auto"/>
    </w:rPr>
  </w:style>
  <w:style w:type="character" w:styleId="WW8Num4z0">
    <w:name w:val="WW8Num4z0"/>
    <w:qFormat/>
    <w:rPr>
      <w:u w:val="none"/>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spacing w:lineRule="exact" w:line="260"/>
    </w:pPr>
    <w:rPr/>
  </w:style>
  <w:style w:type="paragraph" w:styleId="BlockQuote">
    <w:name w:val="Block Quote"/>
    <w:basedOn w:val="Normal"/>
    <w:qFormat/>
    <w:pPr>
      <w:spacing w:before="260" w:after="0"/>
      <w:ind w:hanging="0" w:start="1080" w:end="1080"/>
    </w:pPr>
    <w:rPr/>
  </w:style>
  <w:style w:type="paragraph" w:styleId="BodySingle">
    <w:name w:val="Body Single"/>
    <w:basedOn w:val="Normal"/>
    <w:qFormat/>
    <w:pPr>
      <w:spacing w:before="260" w:after="0"/>
      <w:ind w:firstLine="1080" w:start="0" w:end="0"/>
    </w:pPr>
    <w:rPr/>
  </w:style>
  <w:style w:type="paragraph" w:styleId="BodyTextStyle">
    <w:name w:val="Body Text Style"/>
    <w:basedOn w:val="Normal"/>
    <w:qFormat/>
    <w:pPr>
      <w:spacing w:lineRule="exact" w:line="520"/>
      <w:ind w:firstLine="1080" w:start="0" w:end="0"/>
    </w:pPr>
    <w:rPr/>
  </w:style>
  <w:style w:type="paragraph" w:styleId="Bullet-Large">
    <w:name w:val="Bullet-Large"/>
    <w:basedOn w:val="Normal"/>
    <w:qFormat/>
    <w:pPr>
      <w:numPr>
        <w:ilvl w:val="0"/>
        <w:numId w:val="2"/>
      </w:numPr>
      <w:spacing w:before="260" w:after="0"/>
      <w:ind w:hanging="0" w:start="0" w:end="1080"/>
    </w:pPr>
    <w:rPr/>
  </w:style>
  <w:style w:type="paragraph" w:styleId="Bullet-Small">
    <w:name w:val="Bullet-Small"/>
    <w:basedOn w:val="Normal"/>
    <w:qFormat/>
    <w:pPr>
      <w:numPr>
        <w:ilvl w:val="0"/>
        <w:numId w:val="3"/>
      </w:numPr>
      <w:spacing w:before="260" w:after="0"/>
      <w:ind w:hanging="0" w:start="0" w:end="1080"/>
    </w:pPr>
    <w:rPr/>
  </w:style>
  <w:style w:type="paragraph" w:styleId="Center">
    <w:name w:val="Center"/>
    <w:basedOn w:val="Normal"/>
    <w:qFormat/>
    <w:pPr>
      <w:spacing w:before="260" w:after="0"/>
      <w:jc w:val="center"/>
    </w:pPr>
    <w:rPr/>
  </w:style>
  <w:style w:type="paragraph" w:styleId="LeftAlign1">
    <w:name w:val="Left Align 1"/>
    <w:basedOn w:val="Normal"/>
    <w:qFormat/>
    <w:pPr>
      <w:spacing w:before="260" w:after="0"/>
    </w:pPr>
    <w:rPr/>
  </w:style>
  <w:style w:type="paragraph" w:styleId="LeftAlign2">
    <w:name w:val="Left Align 2"/>
    <w:basedOn w:val="Normal"/>
    <w:qFormat/>
    <w:pPr>
      <w:spacing w:lineRule="exact" w:line="520"/>
    </w:pPr>
    <w:rPr/>
  </w:style>
  <w:style w:type="paragraph" w:styleId="SignatureBlock">
    <w:name w:val="Signature Block"/>
    <w:basedOn w:val="Normal"/>
    <w:qFormat/>
    <w:pPr>
      <w:ind w:hanging="0" w:start="4680" w:end="0"/>
    </w:pPr>
    <w:rPr/>
  </w:style>
  <w:style w:type="paragraph" w:styleId="Footer">
    <w:name w:val="footer"/>
    <w:basedOn w:val="Normal"/>
    <w:pPr>
      <w:tabs>
        <w:tab w:val="clear" w:pos="720"/>
        <w:tab w:val="center" w:pos="4320" w:leader="none"/>
        <w:tab w:val="right" w:pos="8640" w:leader="none"/>
      </w:tabs>
      <w:spacing w:lineRule="exact" w:line="260"/>
    </w:pPr>
    <w:rPr/>
  </w:style>
  <w:style w:type="paragraph" w:styleId="FootnoteText">
    <w:name w:val="footnote text"/>
    <w:basedOn w:val="Normal"/>
    <w:pPr>
      <w:spacing w:before="0" w:after="120"/>
    </w:pPr>
    <w:rPr/>
  </w:style>
  <w:style w:type="paragraph" w:styleId="EnvelopeReturn">
    <w:name w:val="envelope return"/>
    <w:basedOn w:val="Normal"/>
    <w:pPr>
      <w:spacing w:lineRule="exact" w:line="260"/>
    </w:pPr>
    <w:rPr>
      <w:sz w:val="20"/>
    </w:rPr>
  </w:style>
  <w:style w:type="paragraph" w:styleId="EnvelopeAddress">
    <w:name w:val="envelope address"/>
    <w:basedOn w:val="Normal"/>
    <w:pPr>
      <w:spacing w:lineRule="exact" w:line="260"/>
      <w:ind w:hanging="0" w:start="2880" w:end="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2000-12-12T13:04:00Z</dcterms:created>
  <dc:creator>DSMO</dc:creator>
  <dc:description/>
  <dc:language>en-CA</dc:language>
  <cp:lastModifiedBy>DSMO</cp:lastModifiedBy>
  <cp:lastPrinted>2000-12-15T15:38:00Z</cp:lastPrinted>
  <dcterms:modified xsi:type="dcterms:W3CDTF">2000-12-15T18:08:00Z</dcterms:modified>
  <cp:revision>16</cp:revision>
  <dc:subject/>
  <dc:title>Notice of removal -- Hendricks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83File">
    <vt:lpwstr>QDV#01!.DOC</vt:lpwstr>
  </property>
  <property fmtid="{D5CDD505-2E9C-101B-9397-08002B2CF9AE}" pid="3" name="DOCSDocVer">
    <vt:lpwstr>1</vt:lpwstr>
  </property>
  <property fmtid="{D5CDD505-2E9C-101B-9397-08002B2CF9AE}" pid="4" name="DOCSNumber">
    <vt:lpwstr>1231034</vt:lpwstr>
  </property>
</Properties>
</file>