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4.xlsx" ContentType="application/vnd.openxmlformats-officedocument.spreadsheetml.sheet"/>
  <Override PartName="/word/embeddings/oleObject2.bin" ContentType="application/vnd.openxmlformats-officedocument.oleObjec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ind w:firstLine="840" w:end="0"/>
        <w:rPr>
          <w:rFonts w:ascii="Times New Roman" w:hAnsi="Times New Roman" w:cs="Times New Roman"/>
        </w:rPr>
      </w:pPr>
      <w:r>
        <w:rPr>
          <w:rFonts w:cs="Times New Roman" w:ascii="Times New Roman" w:hAnsi="Times New Roman"/>
          <w:sz w:val="36"/>
        </w:rPr>
        <w:t>Memo</w:t>
      </w:r>
      <w:r>
        <mc:AlternateContent>
          <mc:Choice Requires="wps">
            <w:drawing>
              <wp:anchor behindDoc="0" distT="0" distB="0" distL="114300" distR="114300" simplePos="0" locked="0" layoutInCell="0" allowOverlap="1" relativeHeight="2">
                <wp:simplePos x="0" y="0"/>
                <wp:positionH relativeFrom="page">
                  <wp:posOffset>367665</wp:posOffset>
                </wp:positionH>
                <wp:positionV relativeFrom="paragraph">
                  <wp:posOffset>-797560</wp:posOffset>
                </wp:positionV>
                <wp:extent cx="1129665" cy="1129030"/>
                <wp:effectExtent l="0" t="0" r="0" b="0"/>
                <wp:wrapSquare wrapText="bothSides"/>
                <wp:docPr id="1" name="Frame1"/>
                <a:graphic xmlns:a="http://schemas.openxmlformats.org/drawingml/2006/main">
                  <a:graphicData uri="http://schemas.microsoft.com/office/word/2010/wordprocessingShape">
                    <wps:wsp>
                      <wps:cNvSpPr txBox="1"/>
                      <wps:spPr>
                        <a:xfrm>
                          <a:off x="0" y="0"/>
                          <a:ext cx="1129665" cy="1129030"/>
                        </a:xfrm>
                        <a:prstGeom prst="rect"/>
                        <a:solidFill>
                          <a:srgbClr val="FFFFFF">
                            <a:alpha val="0"/>
                          </a:srgbClr>
                        </a:solidFill>
                      </wps:spPr>
                      <wps:txbx>
                        <w:txbxContent>
                          <w:p>
                            <w:pPr>
                              <w:pStyle w:val="Normal"/>
                              <w:rPr/>
                            </w:pPr>
                            <w:r>
                              <w:rPr/>
                              <w:object w:dxaOrig="1778" w:dyaOrig="1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8.9pt;height:88.9pt" filled="f" o:ole="">
                                  <v:imagedata r:id="rId3" o:title=""/>
                                </v:shape>
                                <o:OLEObject Type="Embed" ProgID="" ShapeID="ole_rId2" DrawAspect="Content" ObjectID="_1962381720" r:id="rId2"/>
                              </w:object>
                            </w:r>
                          </w:p>
                        </w:txbxContent>
                      </wps:txbx>
                      <wps:bodyPr anchor="t" lIns="0" tIns="0" rIns="0" bIns="0">
                        <a:noAutofit/>
                      </wps:bodyPr>
                    </wps:wsp>
                  </a:graphicData>
                </a:graphic>
              </wp:anchor>
            </w:drawing>
          </mc:Choice>
          <mc:Fallback>
            <w:pict>
              <v:rect fillcolor="#FFFFFF" style="position:absolute;rotation:-0;width:88.95pt;height:88.9pt;mso-wrap-distance-left:9pt;mso-wrap-distance-right:9pt;mso-wrap-distance-top:0pt;mso-wrap-distance-bottom:0pt;margin-top:-62.8pt;mso-position-vertical-relative:text;margin-left:28.95pt;mso-position-horizontal-relative:page">
                <v:fill opacity="0f"/>
                <v:textbox inset="0in,0in,0in,0in">
                  <w:txbxContent>
                    <w:p>
                      <w:pPr>
                        <w:pStyle w:val="Normal"/>
                        <w:rPr/>
                      </w:pPr>
                      <w:r>
                        <w:rPr/>
                        <w:object w:dxaOrig="1778" w:dyaOrig="177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8.9pt;height:88.9pt" filled="f" o:ole="">
                            <v:imagedata r:id="rId5" o:title=""/>
                          </v:shape>
                          <o:OLEObject Type="Embed" ProgID="" ShapeID="ole_rId4" DrawAspect="Content" ObjectID="_1491578462" r:id="rId4"/>
                        </w:object>
                      </w:r>
                    </w:p>
                  </w:txbxContent>
                </v:textbox>
                <w10:wrap type="square"/>
              </v:rect>
            </w:pict>
          </mc:Fallback>
        </mc:AlternateContent>
      </w:r>
    </w:p>
    <w:p>
      <w:pPr>
        <w:pStyle w:val="MessageHeaderFirst"/>
        <w:rPr/>
      </w:pPr>
      <w:r>
        <w:rPr>
          <w:rStyle w:val="MessageHeaderLabel"/>
          <w:rFonts w:cs="Times New Roman" w:ascii="Times New Roman" w:hAnsi="Times New Roman"/>
        </w:rPr>
        <w:t>Date:</w:t>
      </w:r>
      <w:r>
        <w:rPr>
          <w:rFonts w:cs="Times New Roman" w:ascii="Times New Roman" w:hAnsi="Times New Roman"/>
        </w:rPr>
        <w:tab/>
        <w:t xml:space="preserve"> 6</w:t>
      </w:r>
      <w:r>
        <w:rPr>
          <w:rFonts w:cs="Times New Roman" w:ascii="Times New Roman" w:hAnsi="Times New Roman"/>
          <w:vertAlign w:val="superscript"/>
        </w:rPr>
        <w:t>th</w:t>
      </w:r>
      <w:r>
        <w:rPr>
          <w:rFonts w:cs="Times New Roman" w:ascii="Times New Roman" w:hAnsi="Times New Roman"/>
        </w:rPr>
        <w:t xml:space="preserve"> April 2001</w:t>
      </w:r>
    </w:p>
    <w:p>
      <w:pPr>
        <w:pStyle w:val="MessageHeaderFirst"/>
        <w:ind w:hanging="0" w:start="0" w:end="0"/>
        <w:rPr/>
      </w:pPr>
      <w:r>
        <w:rPr>
          <w:rStyle w:val="MessageHeaderLabel"/>
          <w:rFonts w:cs="Times New Roman" w:ascii="Times New Roman" w:hAnsi="Times New Roman"/>
        </w:rPr>
        <w:t>To:</w:t>
      </w:r>
      <w:r>
        <w:rPr>
          <w:rFonts w:cs="Times New Roman" w:ascii="Times New Roman" w:hAnsi="Times New Roman"/>
        </w:rPr>
        <w:t xml:space="preserve">            The Files             </w:t>
      </w:r>
    </w:p>
    <w:p>
      <w:pPr>
        <w:pStyle w:val="MessageHeader"/>
        <w:ind w:hanging="0" w:start="0" w:end="0"/>
        <w:rPr/>
      </w:pPr>
      <w:r>
        <w:rPr>
          <w:rStyle w:val="MessageHeaderLabel"/>
          <w:rFonts w:cs="Times New Roman" w:ascii="Times New Roman" w:hAnsi="Times New Roman"/>
        </w:rPr>
        <w:t>From:</w:t>
      </w:r>
      <w:r>
        <w:rPr>
          <w:rFonts w:cs="Times New Roman" w:ascii="Times New Roman" w:hAnsi="Times New Roman"/>
        </w:rPr>
        <w:tab/>
        <w:t xml:space="preserve"> Barry Pearce</w:t>
      </w:r>
    </w:p>
    <w:p>
      <w:pPr>
        <w:pStyle w:val="MessageHeaderLast"/>
        <w:ind w:hanging="0" w:start="0" w:end="0"/>
        <w:rPr/>
      </w:pPr>
      <w:r>
        <w:rPr>
          <w:rStyle w:val="MessageHeaderLabel"/>
          <w:rFonts w:cs="Times New Roman" w:ascii="Times New Roman" w:hAnsi="Times New Roman"/>
        </w:rPr>
        <w:t>Re:</w:t>
      </w:r>
      <w:r>
        <w:rPr>
          <w:rFonts w:cs="Times New Roman" w:ascii="Times New Roman" w:hAnsi="Times New Roman"/>
        </w:rPr>
        <w:tab/>
        <w:t xml:space="preserve"> </w:t>
      </w:r>
      <w:r>
        <w:rPr>
          <w:rFonts w:cs="Times New Roman" w:ascii="Times New Roman" w:hAnsi="Times New Roman"/>
          <w:b/>
          <w:sz w:val="22"/>
          <w:u w:val="single"/>
        </w:rPr>
        <w:t>EBS Global Trading – Quarter 1 2001 Highlights</w:t>
      </w:r>
    </w:p>
    <w:p>
      <w:pPr>
        <w:pStyle w:val="Body"/>
        <w:ind w:start="0" w:end="0"/>
        <w:rPr>
          <w:rFonts w:ascii="Times New Roman" w:hAnsi="Times New Roman" w:cs="Times New Roman"/>
        </w:rPr>
      </w:pPr>
      <w:r>
        <w:rPr>
          <w:rFonts w:cs="Times New Roman" w:ascii="Times New Roman" w:hAnsi="Times New Roman"/>
        </w:rPr>
        <w:t>This memorandum briefly summarizes the Quarter 1 income and transaction activity for EBS Global Trading.</w:t>
      </w:r>
    </w:p>
    <w:p>
      <w:pPr>
        <w:pStyle w:val="Body"/>
        <w:ind w:start="0" w:end="0"/>
        <w:rPr>
          <w:rFonts w:ascii="Times New Roman" w:hAnsi="Times New Roman" w:cs="Times New Roman"/>
        </w:rPr>
      </w:pPr>
      <w:r>
        <w:rPr>
          <w:rFonts w:cs="Times New Roman" w:ascii="Times New Roman" w:hAnsi="Times New Roman"/>
        </w:rPr>
      </w:r>
    </w:p>
    <w:p>
      <w:pPr>
        <w:pStyle w:val="Body"/>
        <w:numPr>
          <w:ilvl w:val="0"/>
          <w:numId w:val="2"/>
        </w:numPr>
        <w:rPr>
          <w:rFonts w:ascii="Times New Roman" w:hAnsi="Times New Roman" w:cs="Times New Roman"/>
          <w:b/>
          <w:u w:val="single"/>
        </w:rPr>
      </w:pPr>
      <w:r>
        <w:rPr>
          <w:rFonts w:cs="Times New Roman" w:ascii="Times New Roman" w:hAnsi="Times New Roman"/>
          <w:b/>
          <w:u w:val="single"/>
        </w:rPr>
        <w:t>Summary</w:t>
      </w:r>
    </w:p>
    <w:p>
      <w:pPr>
        <w:pStyle w:val="Body"/>
        <w:ind w:start="0" w:end="0"/>
        <w:rPr>
          <w:rFonts w:ascii="Times New Roman" w:hAnsi="Times New Roman" w:cs="Times New Roman"/>
          <w:b/>
          <w:u w:val="single"/>
        </w:rPr>
      </w:pPr>
      <w:r>
        <w:rPr>
          <w:rFonts w:cs="Times New Roman" w:ascii="Times New Roman" w:hAnsi="Times New Roman"/>
          <w:b/>
          <w:u w:val="single"/>
        </w:rPr>
      </w:r>
    </w:p>
    <w:p>
      <w:pPr>
        <w:pStyle w:val="Body"/>
        <w:ind w:start="0" w:end="0"/>
        <w:rPr>
          <w:rFonts w:ascii="Times New Roman" w:hAnsi="Times New Roman" w:cs="Times New Roman"/>
          <w:b/>
          <w:u w:val="single"/>
        </w:rPr>
      </w:pPr>
      <w:r>
        <w:rPr>
          <w:rFonts w:cs="Times New Roman" w:ascii="Times New Roman" w:hAnsi="Times New Roman"/>
          <w:b/>
          <w:u w:val="single"/>
        </w:rP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5485130" cy="270065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6"/>
                    <a:srcRect l="-5" t="-10" r="-5" b="-10"/>
                    <a:stretch>
                      <a:fillRect/>
                    </a:stretch>
                  </pic:blipFill>
                  <pic:spPr bwMode="auto">
                    <a:xfrm>
                      <a:off x="0" y="0"/>
                      <a:ext cx="5485130" cy="2700655"/>
                    </a:xfrm>
                    <a:prstGeom prst="rect">
                      <a:avLst/>
                    </a:prstGeom>
                    <a:noFill/>
                  </pic:spPr>
                </pic:pic>
              </a:graphicData>
            </a:graphic>
          </wp:anchor>
        </w:drawing>
      </w:r>
    </w:p>
    <w:p>
      <w:pPr>
        <w:pStyle w:val="Body"/>
        <w:ind w:start="0" w:end="0"/>
        <w:rPr>
          <w:rFonts w:ascii="Times New Roman" w:hAnsi="Times New Roman" w:cs="Times New Roman"/>
        </w:rPr>
      </w:pPr>
      <w:r>
        <w:rPr>
          <w:rFonts w:cs="Times New Roman" w:ascii="Times New Roman" w:hAnsi="Times New Roman"/>
        </w:rPr>
        <w:t>For Quarter 1 the EBS Global Trading (GT) Group reported earnings of $(6.5)mm and completed 611 transactions.</w:t>
      </w:r>
    </w:p>
    <w:p>
      <w:pPr>
        <w:pStyle w:val="Body"/>
        <w:ind w:start="0" w:end="0"/>
        <w:rPr>
          <w:rFonts w:ascii="Times New Roman" w:hAnsi="Times New Roman" w:cs="Times New Roman"/>
        </w:rPr>
      </w:pPr>
      <w:r>
        <w:rPr>
          <w:rFonts w:cs="Times New Roman" w:ascii="Times New Roman" w:hAnsi="Times New Roman"/>
        </w:rPr>
      </w:r>
    </w:p>
    <w:p>
      <w:pPr>
        <w:pStyle w:val="Body"/>
        <w:ind w:start="0" w:end="0"/>
        <w:rPr>
          <w:rFonts w:ascii="Times New Roman" w:hAnsi="Times New Roman" w:cs="Times New Roman"/>
        </w:rPr>
      </w:pPr>
      <w:r>
        <w:rPr>
          <w:rFonts w:cs="Times New Roman" w:ascii="Times New Roman" w:hAnsi="Times New Roman"/>
        </w:rPr>
        <w:t>Some trading statistics highlights for Q1 were as follows (numbers incorporate Europe):</w:t>
      </w:r>
    </w:p>
    <w:p>
      <w:pPr>
        <w:pStyle w:val="Body"/>
        <w:ind w:start="0" w:end="0"/>
        <w:rPr>
          <w:rFonts w:ascii="Times New Roman" w:hAnsi="Times New Roman" w:cs="Times New Roman"/>
        </w:rPr>
      </w:pPr>
      <w:r>
        <w:rPr>
          <w:rFonts w:cs="Times New Roman" w:ascii="Times New Roman" w:hAnsi="Times New Roman"/>
        </w:rPr>
      </w:r>
    </w:p>
    <w:p>
      <w:pPr>
        <w:pStyle w:val="Normal"/>
        <w:numPr>
          <w:ilvl w:val="0"/>
          <w:numId w:val="4"/>
        </w:numPr>
        <w:rPr>
          <w:rFonts w:ascii="Times New Roman" w:hAnsi="Times New Roman" w:cs="Times New Roman"/>
          <w:color w:val="000080"/>
        </w:rPr>
      </w:pPr>
      <w:r>
        <w:rPr>
          <w:rFonts w:cs="Times New Roman" w:ascii="Times New Roman" w:hAnsi="Times New Roman"/>
          <w:color w:val="000080"/>
        </w:rPr>
        <w:t xml:space="preserve">GT traded </w:t>
      </w:r>
      <w:r>
        <w:rPr>
          <w:rFonts w:cs="Times New Roman" w:ascii="Times New Roman" w:hAnsi="Times New Roman"/>
          <w:b/>
          <w:color w:val="000080"/>
        </w:rPr>
        <w:t>271k</w:t>
      </w:r>
      <w:r>
        <w:rPr>
          <w:rFonts w:cs="Times New Roman" w:ascii="Times New Roman" w:hAnsi="Times New Roman"/>
          <w:color w:val="000080"/>
        </w:rPr>
        <w:t xml:space="preserve"> terabytes in Q1, compared to 257k terabytes in 2000. This represents annualised growth of 321%. </w:t>
      </w:r>
    </w:p>
    <w:p>
      <w:pPr>
        <w:pStyle w:val="Normal"/>
        <w:rPr>
          <w:rFonts w:ascii="Times New Roman" w:hAnsi="Times New Roman" w:cs="Times New Roman"/>
          <w:color w:val="000080"/>
        </w:rPr>
      </w:pPr>
      <w:r>
        <w:rPr>
          <w:rFonts w:cs="Times New Roman" w:ascii="Times New Roman" w:hAnsi="Times New Roman"/>
          <w:color w:val="000080"/>
        </w:rPr>
      </w:r>
    </w:p>
    <w:p>
      <w:pPr>
        <w:pStyle w:val="Normal"/>
        <w:numPr>
          <w:ilvl w:val="0"/>
          <w:numId w:val="4"/>
        </w:numPr>
        <w:rPr>
          <w:rFonts w:ascii="Times New Roman" w:hAnsi="Times New Roman" w:cs="Times New Roman"/>
          <w:color w:val="000080"/>
        </w:rPr>
      </w:pPr>
      <w:r>
        <w:rPr>
          <w:rFonts w:cs="Times New Roman" w:ascii="Times New Roman" w:hAnsi="Times New Roman"/>
          <w:color w:val="000080"/>
        </w:rPr>
        <w:t xml:space="preserve">GT completed </w:t>
      </w:r>
      <w:r>
        <w:rPr>
          <w:rFonts w:cs="Times New Roman" w:ascii="Times New Roman" w:hAnsi="Times New Roman"/>
          <w:b/>
          <w:color w:val="000080"/>
        </w:rPr>
        <w:t xml:space="preserve">611 </w:t>
      </w:r>
      <w:r>
        <w:rPr>
          <w:rFonts w:cs="Times New Roman" w:ascii="Times New Roman" w:hAnsi="Times New Roman"/>
          <w:color w:val="000080"/>
        </w:rPr>
        <w:t xml:space="preserve">trades in Q1, compared to 330 in 2000, annualised growth of 640%. </w:t>
      </w:r>
    </w:p>
    <w:p>
      <w:pPr>
        <w:pStyle w:val="Normal"/>
        <w:rPr>
          <w:rFonts w:ascii="Times New Roman" w:hAnsi="Times New Roman" w:cs="Times New Roman"/>
          <w:color w:val="000080"/>
        </w:rPr>
      </w:pPr>
      <w:r>
        <w:rPr>
          <w:rFonts w:cs="Times New Roman" w:ascii="Times New Roman" w:hAnsi="Times New Roman"/>
          <w:color w:val="000080"/>
        </w:rPr>
      </w:r>
    </w:p>
    <w:p>
      <w:pPr>
        <w:pStyle w:val="Normal"/>
        <w:numPr>
          <w:ilvl w:val="0"/>
          <w:numId w:val="4"/>
        </w:numPr>
        <w:rPr>
          <w:rFonts w:ascii="Times New Roman" w:hAnsi="Times New Roman" w:cs="Times New Roman"/>
        </w:rPr>
      </w:pPr>
      <w:r>
        <w:rPr>
          <w:rFonts w:cs="Times New Roman" w:ascii="Times New Roman" w:hAnsi="Times New Roman"/>
          <w:color w:val="000080"/>
        </w:rPr>
        <w:t xml:space="preserve">GT completed trades with </w:t>
      </w:r>
      <w:r>
        <w:rPr>
          <w:rFonts w:cs="Times New Roman" w:ascii="Times New Roman" w:hAnsi="Times New Roman"/>
          <w:b/>
          <w:color w:val="000080"/>
        </w:rPr>
        <w:t>82</w:t>
      </w:r>
      <w:r>
        <w:rPr>
          <w:rFonts w:cs="Times New Roman" w:ascii="Times New Roman" w:hAnsi="Times New Roman"/>
          <w:color w:val="000080"/>
        </w:rPr>
        <w:t xml:space="preserve"> new counter parties (gross across commodities) and 66 new legal entities. This compares with 65 (57) in 2000, annualised growth 404%.</w:t>
      </w:r>
    </w:p>
    <w:p>
      <w:pPr>
        <w:pStyle w:val="Normal"/>
        <w:rPr>
          <w:rFonts w:ascii="Times New Roman" w:hAnsi="Times New Roman" w:cs="Times New Roman"/>
        </w:rPr>
      </w:pPr>
      <w:r>
        <w:rPr>
          <w:rFonts w:cs="Times New Roman" w:ascii="Times New Roman" w:hAnsi="Times New Roman"/>
        </w:rPr>
      </w:r>
    </w:p>
    <w:p>
      <w:pPr>
        <w:pStyle w:val="Normal"/>
        <w:numPr>
          <w:ilvl w:val="0"/>
          <w:numId w:val="4"/>
        </w:numPr>
        <w:rPr>
          <w:rFonts w:ascii="Times New Roman" w:hAnsi="Times New Roman" w:cs="Times New Roman"/>
        </w:rPr>
      </w:pPr>
      <w:r>
        <w:rPr>
          <w:rFonts w:cs="Times New Roman" w:ascii="Times New Roman" w:hAnsi="Times New Roman"/>
          <w:color w:val="000080"/>
        </w:rPr>
        <w:t xml:space="preserve">Europe completed </w:t>
      </w:r>
      <w:r>
        <w:rPr>
          <w:rFonts w:cs="Times New Roman" w:ascii="Times New Roman" w:hAnsi="Times New Roman"/>
          <w:b/>
          <w:color w:val="000080"/>
        </w:rPr>
        <w:t xml:space="preserve">47 </w:t>
      </w:r>
      <w:r>
        <w:rPr>
          <w:rFonts w:cs="Times New Roman" w:ascii="Times New Roman" w:hAnsi="Times New Roman"/>
          <w:color w:val="000080"/>
        </w:rPr>
        <w:t xml:space="preserve">trades in Q1, compared to 17 in 2000. </w:t>
      </w:r>
    </w:p>
    <w:p>
      <w:pPr>
        <w:pStyle w:val="Normal"/>
        <w:rPr>
          <w:rFonts w:ascii="Times New Roman" w:hAnsi="Times New Roman" w:cs="Times New Roman"/>
        </w:rPr>
      </w:pPr>
      <w:r>
        <w:rPr>
          <w:rFonts w:cs="Times New Roman" w:ascii="Times New Roman" w:hAnsi="Times New Roman"/>
        </w:rPr>
      </w:r>
    </w:p>
    <w:p>
      <w:pPr>
        <w:pStyle w:val="Normal"/>
        <w:numPr>
          <w:ilvl w:val="0"/>
          <w:numId w:val="4"/>
        </w:numPr>
        <w:rPr>
          <w:rFonts w:ascii="Times New Roman" w:hAnsi="Times New Roman" w:cs="Times New Roman"/>
          <w:color w:val="000080"/>
        </w:rPr>
      </w:pPr>
      <w:r>
        <w:rPr>
          <w:rFonts w:cs="Times New Roman" w:ascii="Times New Roman" w:hAnsi="Times New Roman"/>
          <w:color w:val="000080"/>
        </w:rPr>
        <w:t xml:space="preserve">Media Services completed </w:t>
      </w:r>
      <w:r>
        <w:rPr>
          <w:rFonts w:cs="Times New Roman" w:ascii="Times New Roman" w:hAnsi="Times New Roman"/>
          <w:b/>
          <w:color w:val="000080"/>
        </w:rPr>
        <w:t>39</w:t>
      </w:r>
      <w:r>
        <w:rPr>
          <w:rFonts w:cs="Times New Roman" w:ascii="Times New Roman" w:hAnsi="Times New Roman"/>
          <w:color w:val="000080"/>
        </w:rPr>
        <w:t xml:space="preserve"> trades in Q1, compared to 2 in 2000.</w:t>
      </w:r>
    </w:p>
    <w:p>
      <w:pPr>
        <w:pStyle w:val="HeadingBase"/>
        <w:keepNext w:val="false"/>
        <w:keepLines w:val="false"/>
        <w:spacing w:lineRule="auto" w:line="240"/>
        <w:rPr>
          <w:rFonts w:ascii="Times New Roman" w:hAnsi="Times New Roman" w:cs="Times New Roman"/>
          <w:color w:val="000080"/>
          <w:spacing w:val="-5"/>
          <w:kern w:val="0"/>
        </w:rPr>
      </w:pPr>
      <w:r>
        <w:rPr>
          <w:rFonts w:cs="Times New Roman" w:ascii="Times New Roman" w:hAnsi="Times New Roman"/>
          <w:color w:val="000080"/>
          <w:spacing w:val="-5"/>
          <w:kern w:val="0"/>
        </w:rPr>
      </w:r>
    </w:p>
    <w:p>
      <w:pPr>
        <w:pStyle w:val="Normal"/>
        <w:numPr>
          <w:ilvl w:val="0"/>
          <w:numId w:val="3"/>
        </w:numPr>
        <w:spacing w:lineRule="atLeast" w:line="240"/>
        <w:rPr>
          <w:rFonts w:ascii="Times New Roman" w:hAnsi="Times New Roman" w:cs="Times New Roman"/>
          <w:color w:val="000080"/>
        </w:rPr>
      </w:pPr>
      <w:r>
        <w:rPr>
          <w:rFonts w:cs="Times New Roman" w:ascii="Times New Roman" w:hAnsi="Times New Roman"/>
          <w:color w:val="000080"/>
        </w:rPr>
        <w:t>Year to date we have completed 9.4 trades each working day. During Q4 2000 this number was 3.6 trades and compares to Q3 &amp; Q2 2000 figures of 1.0 and 0.5 respectively.</w:t>
      </w:r>
    </w:p>
    <w:p>
      <w:pPr>
        <w:pStyle w:val="Normal"/>
        <w:spacing w:lineRule="atLeast" w:line="240"/>
        <w:rPr>
          <w:rFonts w:ascii="Times New Roman" w:hAnsi="Times New Roman" w:cs="Times New Roman"/>
          <w:color w:val="000080"/>
        </w:rPr>
      </w:pPr>
      <w:r>
        <w:rPr>
          <w:rFonts w:cs="Times New Roman" w:ascii="Times New Roman" w:hAnsi="Times New Roman"/>
          <w:color w:val="000080"/>
        </w:rPr>
      </w:r>
    </w:p>
    <w:p>
      <w:pPr>
        <w:pStyle w:val="Normal"/>
        <w:spacing w:lineRule="atLeast" w:line="240"/>
        <w:rPr>
          <w:rFonts w:ascii="Times New Roman" w:hAnsi="Times New Roman" w:cs="Times New Roman"/>
          <w:color w:val="000080"/>
        </w:rPr>
      </w:pPr>
      <w:r>
        <w:rPr>
          <w:rFonts w:cs="Times New Roman" w:ascii="Times New Roman" w:hAnsi="Times New Roman"/>
          <w:color w:val="000080"/>
        </w:rPr>
      </w:r>
    </w:p>
    <w:p>
      <w:pPr>
        <w:pStyle w:val="Normal"/>
        <w:spacing w:lineRule="atLeast" w:line="240"/>
        <w:rPr>
          <w:rFonts w:ascii="Times New Roman" w:hAnsi="Times New Roman" w:cs="Times New Roman"/>
          <w:color w:val="000080"/>
        </w:rPr>
      </w:pPr>
      <w:r>
        <w:rPr>
          <w:rFonts w:cs="Times New Roman" w:ascii="Times New Roman" w:hAnsi="Times New Roman"/>
          <w:color w:val="000080"/>
        </w:rPr>
        <w:t>A summary of traded and settled (delivered) volumes is included below.</w:t>
      </w:r>
    </w:p>
    <w:p>
      <w:pPr>
        <w:pStyle w:val="Normal"/>
        <w:spacing w:lineRule="atLeast" w:line="240"/>
        <w:rPr>
          <w:rFonts w:ascii="Times New Roman" w:hAnsi="Times New Roman" w:cs="Times New Roman"/>
          <w:color w:val="000080"/>
        </w:rPr>
      </w:pPr>
      <w:r>
        <w:rPr>
          <w:rFonts w:cs="Times New Roman" w:ascii="Times New Roman" w:hAnsi="Times New Roman"/>
          <w:color w:val="000080"/>
        </w:rPr>
        <w:drawing>
          <wp:anchor behindDoc="0" distT="0" distB="0" distL="114935" distR="114935" simplePos="0" locked="0" layoutInCell="0" allowOverlap="1" relativeHeight="7">
            <wp:simplePos x="0" y="0"/>
            <wp:positionH relativeFrom="column">
              <wp:posOffset>0</wp:posOffset>
            </wp:positionH>
            <wp:positionV relativeFrom="paragraph">
              <wp:posOffset>152400</wp:posOffset>
            </wp:positionV>
            <wp:extent cx="5167630" cy="186817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7"/>
                    <a:srcRect l="-9" t="-19" r="-9" b="-19"/>
                    <a:stretch>
                      <a:fillRect/>
                    </a:stretch>
                  </pic:blipFill>
                  <pic:spPr bwMode="auto">
                    <a:xfrm>
                      <a:off x="0" y="0"/>
                      <a:ext cx="5167630" cy="1868170"/>
                    </a:xfrm>
                    <a:prstGeom prst="rect">
                      <a:avLst/>
                    </a:prstGeom>
                    <a:noFill/>
                  </pic:spPr>
                </pic:pic>
              </a:graphicData>
            </a:graphic>
          </wp:anchor>
        </w:drawing>
      </w:r>
    </w:p>
    <w:p>
      <w:pPr>
        <w:pStyle w:val="Normal"/>
        <w:spacing w:lineRule="atLeast" w:line="240"/>
        <w:rPr>
          <w:rFonts w:ascii="Times New Roman" w:hAnsi="Times New Roman" w:cs="Times New Roman"/>
          <w:color w:val="000080"/>
        </w:rPr>
      </w:pPr>
      <w:r>
        <w:rPr>
          <w:rFonts w:cs="Times New Roman" w:ascii="Times New Roman" w:hAnsi="Times New Roman"/>
          <w:color w:val="000080"/>
        </w:rPr>
      </w:r>
    </w:p>
    <w:p>
      <w:pPr>
        <w:pStyle w:val="Normal"/>
        <w:spacing w:lineRule="atLeast" w:line="240"/>
        <w:rPr>
          <w:rFonts w:ascii="Times New Roman" w:hAnsi="Times New Roman" w:cs="Times New Roman"/>
          <w:color w:val="000080"/>
        </w:rPr>
      </w:pPr>
      <w:r>
        <w:rPr>
          <w:rFonts w:cs="Times New Roman" w:ascii="Times New Roman" w:hAnsi="Times New Roman"/>
          <w:color w:val="000080"/>
        </w:rPr>
        <w:t>At the end of Q1, we have reached 45% of our annual ‘Settled/Delivered’ Target.</w:t>
      </w:r>
    </w:p>
    <w:p>
      <w:pPr>
        <w:pStyle w:val="Normal"/>
        <w:spacing w:lineRule="atLeast" w:line="240"/>
        <w:rPr>
          <w:rFonts w:ascii="Times New Roman" w:hAnsi="Times New Roman" w:cs="Times New Roman"/>
          <w:color w:val="000080"/>
        </w:rPr>
      </w:pPr>
      <w:r>
        <w:rPr>
          <w:rFonts w:cs="Times New Roman" w:ascii="Times New Roman" w:hAnsi="Times New Roman"/>
          <w:color w:val="000080"/>
        </w:rPr>
      </w:r>
    </w:p>
    <w:p>
      <w:pPr>
        <w:pStyle w:val="Normal"/>
        <w:spacing w:lineRule="atLeast" w:line="240"/>
        <w:rPr>
          <w:rFonts w:ascii="Times New Roman" w:hAnsi="Times New Roman" w:cs="Times New Roman"/>
          <w:color w:val="000080"/>
        </w:rPr>
      </w:pPr>
      <w:r>
        <w:object w:dxaOrig="8960" w:dyaOrig="486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5pt;margin-top:18.95pt;width:417.6pt;height:216pt;mso-wrap-distance-left:9.05pt;mso-wrap-distance-right:9.05pt;mso-position-horizontal-relative:text;mso-position-vertical-relative:text" filled="f" o:ole="">
            <v:imagedata r:id="rId9" o:title=""/>
            <w10:wrap type="topAndBottom"/>
          </v:shape>
          <o:OLEObject Type="Embed" ProgID="Excel.Sheet.12" ShapeID="ole_rId8" DrawAspect="Content" ObjectID="_29228255" r:id="rId8"/>
        </w:object>
      </w:r>
      <w:r>
        <w:rPr>
          <w:rFonts w:cs="Times New Roman" w:ascii="Times New Roman" w:hAnsi="Times New Roman"/>
          <w:color w:val="000080"/>
        </w:rPr>
        <w:t>A summary of Transactions by Quarter is shown below (this excludes Media Services).</w:t>
      </w:r>
    </w:p>
    <w:p>
      <w:pPr>
        <w:pStyle w:val="Normal"/>
        <w:spacing w:lineRule="atLeast" w:line="240"/>
        <w:rPr>
          <w:rFonts w:ascii="Times New Roman" w:hAnsi="Times New Roman" w:cs="Times New Roman"/>
          <w:color w:val="000080"/>
        </w:rPr>
      </w:pPr>
      <w:r>
        <w:rPr>
          <w:rFonts w:cs="Times New Roman" w:ascii="Times New Roman" w:hAnsi="Times New Roman"/>
          <w:color w:val="000080"/>
        </w:rPr>
      </w:r>
    </w:p>
    <w:p>
      <w:pPr>
        <w:pStyle w:val="Body"/>
        <w:numPr>
          <w:ilvl w:val="0"/>
          <w:numId w:val="0"/>
        </w:numPr>
        <w:ind w:hanging="0" w:start="0" w:end="0"/>
        <w:outlineLvl w:val="0"/>
        <w:rPr>
          <w:rFonts w:ascii="Times New Roman" w:hAnsi="Times New Roman" w:cs="Times New Roman"/>
          <w:b/>
          <w:u w:val="single"/>
        </w:rPr>
      </w:pPr>
      <w:r>
        <w:rPr>
          <w:rFonts w:cs="Times New Roman" w:ascii="Times New Roman" w:hAnsi="Times New Roman"/>
          <w:b/>
          <w:u w:val="single"/>
        </w:rPr>
        <w:t>B. Long Haul Circuits (NA)</w:t>
      </w:r>
    </w:p>
    <w:p>
      <w:pPr>
        <w:pStyle w:val="Body"/>
        <w:numPr>
          <w:ilvl w:val="0"/>
          <w:numId w:val="0"/>
        </w:numPr>
        <w:ind w:hanging="0" w:start="0" w:end="0"/>
        <w:outlineLvl w:val="0"/>
        <w:rPr>
          <w:rFonts w:ascii="Times New Roman" w:hAnsi="Times New Roman" w:cs="Times New Roman"/>
          <w:b/>
          <w:u w:val="single"/>
        </w:rPr>
      </w:pPr>
      <w:r>
        <w:rPr>
          <w:rFonts w:cs="Times New Roman" w:ascii="Times New Roman" w:hAnsi="Times New Roman"/>
          <w:b/>
          <w:u w:val="single"/>
        </w:rPr>
      </w:r>
    </w:p>
    <w:p>
      <w:pPr>
        <w:pStyle w:val="BodyText"/>
        <w:rPr>
          <w:rFonts w:ascii="Times New Roman" w:hAnsi="Times New Roman" w:cs="Times New Roman"/>
          <w:color w:val="000080"/>
        </w:rPr>
      </w:pPr>
      <w:r>
        <w:rPr>
          <w:rFonts w:cs="Times New Roman" w:ascii="Times New Roman" w:hAnsi="Times New Roman"/>
          <w:color w:val="000080"/>
        </w:rPr>
        <w:t>Earnings posted for Q1 were $(2.7)mm. The book’s open long MTM position at 3/31 was 309k terabytes. The loss for the quarter resulted mainly from falls across the curve on long positions, primarily on north-west &amp; south-west artery routes, plus the liquidation of unsold positions/circuits. We picked up $1.2 gain from the cancellation of the First World contract.</w:t>
      </w:r>
    </w:p>
    <w:p>
      <w:pPr>
        <w:pStyle w:val="BodyText"/>
        <w:rPr>
          <w:rFonts w:ascii="Times New Roman" w:hAnsi="Times New Roman" w:cs="Times New Roman"/>
          <w:color w:val="000080"/>
        </w:rPr>
      </w:pPr>
      <w:r>
        <w:rPr>
          <w:rFonts w:cs="Times New Roman" w:ascii="Times New Roman" w:hAnsi="Times New Roman"/>
          <w:color w:val="000080"/>
        </w:rPr>
        <w:t>Prices remain backwardated throughout 2001 and out and continue to fall. For example, the Cal2002 NY/LA price fell 34% from the middle of January to the end of February ($0.0064/DS-0 to $0.0042) and 49% to the end of March ($0.0033). The Cal 2002 LA/Dallas price fell 28% over the same 3-month period ($0.0065 to $0.0047).</w:t>
      </w:r>
    </w:p>
    <w:p>
      <w:pPr>
        <w:pStyle w:val="Body"/>
        <w:ind w:start="0" w:end="0"/>
        <w:rPr>
          <w:rFonts w:ascii="Times New Roman" w:hAnsi="Times New Roman" w:cs="Times New Roman"/>
        </w:rPr>
      </w:pPr>
      <w:r>
        <w:rPr>
          <w:rFonts w:cs="Times New Roman" w:ascii="Times New Roman" w:hAnsi="Times New Roman"/>
        </w:rPr>
        <w:t>EBS completed trades with 11 new counter parties in Q1, including transactions with Telecom New Zealand, France Telecom, Aquila, Enitel AS, WCI Cable and Global Internetworking.</w:t>
      </w:r>
    </w:p>
    <w:p>
      <w:pPr>
        <w:pStyle w:val="Body"/>
        <w:ind w:start="0" w:end="0"/>
        <w:rPr>
          <w:rFonts w:ascii="Times New Roman" w:hAnsi="Times New Roman" w:cs="Times New Roman"/>
        </w:rPr>
      </w:pPr>
      <w:r>
        <w:rPr>
          <w:rFonts w:cs="Times New Roman" w:ascii="Times New Roman" w:hAnsi="Times New Roman"/>
        </w:rPr>
      </w:r>
    </w:p>
    <w:p>
      <w:pPr>
        <w:pStyle w:val="Body"/>
        <w:ind w:start="0" w:end="0"/>
        <w:rPr>
          <w:rFonts w:ascii="Times New Roman" w:hAnsi="Times New Roman" w:cs="Times New Roman"/>
        </w:rPr>
      </w:pPr>
      <w:r>
        <w:rPr>
          <w:rFonts w:cs="Times New Roman" w:ascii="Times New Roman" w:hAnsi="Times New Roman"/>
        </w:rPr>
        <w:t>The most popular traded route continues to be NY/LA, however we have seen an increase in the number of other routes trades, among these NY/Miami and Hou/LA, NY/DC are becoming increasingly active.</w:t>
      </w:r>
    </w:p>
    <w:p>
      <w:pPr>
        <w:pStyle w:val="Body"/>
        <w:ind w:start="0" w:end="0"/>
        <w:rPr>
          <w:rFonts w:ascii="Times New Roman" w:hAnsi="Times New Roman" w:cs="Times New Roman"/>
        </w:rPr>
      </w:pPr>
      <w:r>
        <w:rPr>
          <w:rFonts w:cs="Times New Roman" w:ascii="Times New Roman" w:hAnsi="Times New Roman"/>
        </w:rPr>
      </w:r>
    </w:p>
    <w:p>
      <w:pPr>
        <w:pStyle w:val="Body"/>
        <w:ind w:start="0" w:end="0"/>
        <w:rPr>
          <w:rFonts w:ascii="Times New Roman" w:hAnsi="Times New Roman" w:cs="Times New Roman"/>
        </w:rPr>
      </w:pPr>
      <w:r>
        <w:rPr>
          <w:rFonts w:cs="Times New Roman" w:ascii="Times New Roman" w:hAnsi="Times New Roman"/>
        </w:rPr>
        <w:t>It is interesting to compare the make-up of our Long Haul transactions by counter party. In 2000 the Top 5 CP’s accounted for 80% of the total, compared to 87% for Q1, on roughly double the transactions. See below for the split.</w:t>
      </w:r>
    </w:p>
    <w:p>
      <w:pPr>
        <w:pStyle w:val="Body"/>
        <w:ind w:start="0" w:end="0"/>
        <w:rPr>
          <w:rFonts w:ascii="Times New Roman" w:hAnsi="Times New Roman" w:cs="Times New Roman"/>
        </w:rPr>
      </w:pPr>
      <w:r>
        <w:rPr>
          <w:rFonts w:cs="Times New Roman" w:ascii="Times New Roman" w:hAnsi="Times New Roman"/>
        </w:rPr>
      </w:r>
    </w:p>
    <w:p>
      <w:pPr>
        <w:pStyle w:val="Body"/>
        <w:ind w:start="0" w:end="0"/>
        <w:rPr>
          <w:rFonts w:ascii="Times New Roman" w:hAnsi="Times New Roman" w:cs="Times New Roman"/>
          <w:lang w:val="en-CA"/>
        </w:rPr>
      </w:pPr>
      <w:r>
        <w:rPr>
          <w:rFonts w:cs="Times New Roman" w:ascii="Times New Roman" w:hAnsi="Times New Roman"/>
          <w:lang w:val="en-CA"/>
        </w:rPr>
        <w:object w:dxaOrig="5449" w:dyaOrig="2041">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0pt;margin-top:0pt;width:273.1pt;height:99.85pt;mso-wrap-distance-left:9.05pt;mso-wrap-distance-right:9.05pt;mso-position-horizontal-relative:text;mso-position-vertical-relative:text" filled="f" o:ole="">
            <v:imagedata r:id="rId11" o:title=""/>
            <w10:wrap type="topAndBottom"/>
          </v:shape>
          <o:OLEObject Type="Embed" ProgID="Excel.Sheet.12" ShapeID="ole_rId10" DrawAspect="Content" ObjectID="_787623735" r:id="rId10"/>
        </w:object>
      </w:r>
    </w:p>
    <w:p>
      <w:pPr>
        <w:pStyle w:val="Body"/>
        <w:ind w:start="0" w:end="0"/>
        <w:rPr>
          <w:rFonts w:ascii="Times New Roman" w:hAnsi="Times New Roman" w:cs="Times New Roman"/>
        </w:rPr>
      </w:pPr>
      <w:r>
        <w:rPr>
          <w:rFonts w:cs="Times New Roman" w:ascii="Times New Roman" w:hAnsi="Times New Roman"/>
        </w:rPr>
      </w:r>
    </w:p>
    <w:p>
      <w:pPr>
        <w:pStyle w:val="Body"/>
        <w:numPr>
          <w:ilvl w:val="0"/>
          <w:numId w:val="0"/>
        </w:numPr>
        <w:ind w:hanging="0" w:start="0" w:end="0"/>
        <w:outlineLvl w:val="0"/>
        <w:rPr>
          <w:rFonts w:ascii="Times New Roman" w:hAnsi="Times New Roman" w:cs="Times New Roman"/>
          <w:b/>
          <w:u w:val="single"/>
        </w:rPr>
      </w:pPr>
      <w:r>
        <w:rPr>
          <w:rFonts w:cs="Times New Roman" w:ascii="Times New Roman" w:hAnsi="Times New Roman"/>
          <w:b/>
          <w:u w:val="single"/>
        </w:rPr>
        <w:t>C. IP Transport &amp; Transit</w:t>
      </w:r>
    </w:p>
    <w:p>
      <w:pPr>
        <w:pStyle w:val="Body"/>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color w:val="000080"/>
        </w:rPr>
      </w:pPr>
      <w:r>
        <w:rPr>
          <w:rFonts w:cs="Times New Roman" w:ascii="Times New Roman" w:hAnsi="Times New Roman"/>
          <w:color w:val="000080"/>
        </w:rPr>
        <w:t>The IP Trading desk has two major product offerings - Transit and Transport. Transit is defined as ‘off-net’ and Transport as ‘on-net’. We completed 18 trades in Q1 with 9 counter parties, of which 8 were new.</w:t>
      </w:r>
    </w:p>
    <w:p>
      <w:pPr>
        <w:pStyle w:val="Normal"/>
        <w:rPr>
          <w:rFonts w:ascii="Times New Roman" w:hAnsi="Times New Roman" w:cs="Times New Roman"/>
          <w:color w:val="000080"/>
        </w:rPr>
      </w:pPr>
      <w:r>
        <w:rPr>
          <w:rFonts w:cs="Times New Roman" w:ascii="Times New Roman" w:hAnsi="Times New Roman"/>
          <w:color w:val="000080"/>
        </w:rPr>
      </w:r>
    </w:p>
    <w:p>
      <w:pPr>
        <w:pStyle w:val="Normal"/>
        <w:rPr>
          <w:rFonts w:ascii="Times New Roman" w:hAnsi="Times New Roman" w:cs="Times New Roman"/>
          <w:color w:val="000080"/>
        </w:rPr>
      </w:pPr>
      <w:r>
        <w:rPr>
          <w:rFonts w:cs="Times New Roman" w:ascii="Times New Roman" w:hAnsi="Times New Roman"/>
          <w:color w:val="000080"/>
        </w:rPr>
        <w:t xml:space="preserve">The deals were both for IP Transit (6) and Transport (12) and were spread over North America, Asia and Europe. </w:t>
      </w:r>
    </w:p>
    <w:p>
      <w:pPr>
        <w:pStyle w:val="Normal"/>
        <w:rPr>
          <w:rFonts w:ascii="Times New Roman" w:hAnsi="Times New Roman" w:cs="Times New Roman"/>
          <w:color w:val="000080"/>
        </w:rPr>
      </w:pPr>
      <w:r>
        <w:rPr>
          <w:rFonts w:cs="Times New Roman" w:ascii="Times New Roman" w:hAnsi="Times New Roman"/>
          <w:color w:val="000080"/>
        </w:rPr>
      </w:r>
    </w:p>
    <w:p>
      <w:pPr>
        <w:pStyle w:val="Normal"/>
        <w:rPr>
          <w:rFonts w:ascii="Times New Roman" w:hAnsi="Times New Roman" w:cs="Times New Roman"/>
          <w:color w:val="000080"/>
        </w:rPr>
      </w:pPr>
      <w:r>
        <w:rPr>
          <w:rFonts w:cs="Times New Roman" w:ascii="Times New Roman" w:hAnsi="Times New Roman"/>
          <w:color w:val="000080"/>
        </w:rPr>
        <w:t>Significant Transit deals were completed with OneTel, Megabyte Networks and UUNet (a 2 year buy to support the Akamai 10 city North America 2 year sale).</w:t>
      </w:r>
    </w:p>
    <w:p>
      <w:pPr>
        <w:pStyle w:val="Normal"/>
        <w:rPr>
          <w:rFonts w:ascii="Times New Roman" w:hAnsi="Times New Roman" w:cs="Times New Roman"/>
          <w:color w:val="000080"/>
        </w:rPr>
      </w:pPr>
      <w:r>
        <w:rPr>
          <w:rFonts w:cs="Times New Roman" w:ascii="Times New Roman" w:hAnsi="Times New Roman"/>
          <w:color w:val="000080"/>
        </w:rPr>
      </w:r>
    </w:p>
    <w:p>
      <w:pPr>
        <w:pStyle w:val="Normal"/>
        <w:rPr>
          <w:rFonts w:ascii="Times New Roman" w:hAnsi="Times New Roman" w:cs="Times New Roman"/>
          <w:color w:val="000080"/>
        </w:rPr>
      </w:pPr>
      <w:r>
        <w:rPr>
          <w:rFonts w:cs="Times New Roman" w:ascii="Times New Roman" w:hAnsi="Times New Roman"/>
          <w:color w:val="000080"/>
        </w:rPr>
        <w:t>Notable Transport deals included BMC Software (3 year, 10 city, 8 international, sale), NeTune and MCI WorldCom.</w:t>
      </w:r>
    </w:p>
    <w:p>
      <w:pPr>
        <w:pStyle w:val="Normal"/>
        <w:rPr>
          <w:rFonts w:ascii="Times New Roman" w:hAnsi="Times New Roman" w:cs="Times New Roman"/>
          <w:color w:val="000080"/>
        </w:rPr>
      </w:pPr>
      <w:r>
        <w:rPr>
          <w:rFonts w:cs="Times New Roman" w:ascii="Times New Roman" w:hAnsi="Times New Roman"/>
          <w:color w:val="000080"/>
        </w:rPr>
      </w:r>
    </w:p>
    <w:p>
      <w:pPr>
        <w:pStyle w:val="Normal"/>
        <w:rPr>
          <w:rFonts w:ascii="Times New Roman" w:hAnsi="Times New Roman" w:cs="Times New Roman"/>
          <w:color w:val="000080"/>
        </w:rPr>
      </w:pPr>
      <w:r>
        <w:rPr>
          <w:rFonts w:cs="Times New Roman" w:ascii="Times New Roman" w:hAnsi="Times New Roman"/>
          <w:color w:val="000080"/>
        </w:rPr>
        <w:t>The p/l for Q1 of $(4.7)mm relates to purchased inter-connect costs unsold/unused, of this only $0.6mm was external, the rest were inter-book liquidations.</w:t>
      </w:r>
    </w:p>
    <w:p>
      <w:pPr>
        <w:pStyle w:val="Normal"/>
        <w:rPr>
          <w:rFonts w:ascii="Times New Roman" w:hAnsi="Times New Roman" w:cs="Times New Roman"/>
          <w:color w:val="000080"/>
        </w:rPr>
      </w:pPr>
      <w:r>
        <w:rPr>
          <w:rFonts w:cs="Times New Roman" w:ascii="Times New Roman" w:hAnsi="Times New Roman"/>
          <w:color w:val="000080"/>
        </w:rPr>
      </w:r>
    </w:p>
    <w:p>
      <w:pPr>
        <w:pStyle w:val="Body"/>
        <w:ind w:start="0" w:end="0"/>
        <w:rPr>
          <w:rFonts w:ascii="Times New Roman" w:hAnsi="Times New Roman" w:cs="Times New Roman"/>
          <w:b/>
          <w:u w:val="single"/>
        </w:rPr>
      </w:pPr>
      <w:r>
        <w:rPr>
          <w:rFonts w:cs="Times New Roman" w:ascii="Times New Roman" w:hAnsi="Times New Roman"/>
          <w:b/>
          <w:u w:val="single"/>
        </w:rPr>
        <w:t>D. Local/Metro Loop</w:t>
      </w:r>
    </w:p>
    <w:p>
      <w:pPr>
        <w:pStyle w:val="Normal"/>
        <w:jc w:val="both"/>
        <w:rPr>
          <w:rFonts w:ascii="Times New Roman" w:hAnsi="Times New Roman" w:cs="Times New Roman"/>
          <w:b/>
          <w:color w:val="000080"/>
          <w:u w:val="single"/>
        </w:rPr>
      </w:pPr>
      <w:r>
        <w:rPr>
          <w:rFonts w:cs="Times New Roman" w:ascii="Times New Roman" w:hAnsi="Times New Roman"/>
          <w:b/>
          <w:color w:val="000080"/>
          <w:u w:val="single"/>
        </w:rPr>
      </w:r>
    </w:p>
    <w:p>
      <w:pPr>
        <w:pStyle w:val="Normal"/>
        <w:jc w:val="both"/>
        <w:rPr>
          <w:rFonts w:ascii="Times New Roman" w:hAnsi="Times New Roman" w:cs="Times New Roman"/>
          <w:color w:val="000080"/>
        </w:rPr>
      </w:pPr>
      <w:r>
        <w:rPr>
          <w:rFonts w:cs="Times New Roman" w:ascii="Times New Roman" w:hAnsi="Times New Roman"/>
          <w:color w:val="000080"/>
        </w:rPr>
        <w:t>Trading activity in Q1 continued to increase as we completed 226 trades. Around 120 of these trades were with Level3 as we continue to tidy-up our portfolio. We have traded with 14 new counter parties so far this year across a variety of locations, specifically New York, San Francisco, Denver, Portland and London. The transactions, which were mainly purchases, are a part of the continuing effort to provide connectivity to our PPN1.</w:t>
      </w:r>
    </w:p>
    <w:p>
      <w:pPr>
        <w:pStyle w:val="Normal"/>
        <w:jc w:val="both"/>
        <w:rPr>
          <w:rFonts w:ascii="Times New Roman" w:hAnsi="Times New Roman" w:cs="Times New Roman"/>
          <w:color w:val="000080"/>
        </w:rPr>
      </w:pPr>
      <w:r>
        <w:rPr>
          <w:rFonts w:cs="Times New Roman" w:ascii="Times New Roman" w:hAnsi="Times New Roman"/>
          <w:color w:val="000080"/>
        </w:rPr>
      </w:r>
    </w:p>
    <w:p>
      <w:pPr>
        <w:pStyle w:val="Normal"/>
        <w:jc w:val="both"/>
        <w:rPr>
          <w:rFonts w:ascii="Times New Roman" w:hAnsi="Times New Roman" w:cs="Times New Roman"/>
          <w:color w:val="000080"/>
        </w:rPr>
      </w:pPr>
      <w:r>
        <w:rPr>
          <w:rFonts w:cs="Times New Roman" w:ascii="Times New Roman" w:hAnsi="Times New Roman"/>
          <w:color w:val="000080"/>
        </w:rPr>
        <w:t xml:space="preserve">The p/l for the Quarter was $(2.0)mm, arising mainly from a catch-up of circuit identification and related costs and the $500k/month Level3 contract. </w:t>
      </w:r>
    </w:p>
    <w:p>
      <w:pPr>
        <w:pStyle w:val="Normal"/>
        <w:jc w:val="both"/>
        <w:rPr>
          <w:rFonts w:ascii="Times New Roman" w:hAnsi="Times New Roman" w:cs="Times New Roman"/>
          <w:color w:val="000080"/>
        </w:rPr>
      </w:pPr>
      <w:r>
        <w:rPr>
          <w:rFonts w:cs="Times New Roman" w:ascii="Times New Roman" w:hAnsi="Times New Roman"/>
          <w:color w:val="000080"/>
        </w:rPr>
      </w:r>
    </w:p>
    <w:p>
      <w:pPr>
        <w:pStyle w:val="Normal"/>
        <w:jc w:val="both"/>
        <w:rPr>
          <w:rFonts w:ascii="Times New Roman" w:hAnsi="Times New Roman" w:cs="Times New Roman"/>
          <w:color w:val="000080"/>
        </w:rPr>
      </w:pPr>
      <w:r>
        <w:rPr>
          <w:rFonts w:cs="Times New Roman" w:ascii="Times New Roman" w:hAnsi="Times New Roman"/>
          <w:color w:val="000080"/>
        </w:rPr>
        <w:t>We traded with, amongst others, SBC, Pac Bell, Ameritech, BT and France Telecom, TTNet.</w:t>
      </w:r>
    </w:p>
    <w:p>
      <w:pPr>
        <w:pStyle w:val="Normal"/>
        <w:jc w:val="both"/>
        <w:rPr>
          <w:rFonts w:ascii="Times New Roman" w:hAnsi="Times New Roman" w:cs="Times New Roman"/>
          <w:color w:val="000080"/>
        </w:rPr>
      </w:pPr>
      <w:r>
        <w:rPr>
          <w:rFonts w:cs="Times New Roman" w:ascii="Times New Roman" w:hAnsi="Times New Roman"/>
          <w:color w:val="000080"/>
        </w:rPr>
      </w:r>
    </w:p>
    <w:p>
      <w:pPr>
        <w:pStyle w:val="Body"/>
        <w:ind w:start="0" w:end="0"/>
        <w:rPr>
          <w:rFonts w:ascii="Times New Roman" w:hAnsi="Times New Roman" w:cs="Times New Roman"/>
          <w:b/>
          <w:u w:val="single"/>
        </w:rPr>
      </w:pPr>
      <w:r>
        <w:rPr>
          <w:rFonts w:cs="Times New Roman" w:ascii="Times New Roman" w:hAnsi="Times New Roman"/>
          <w:b/>
          <w:u w:val="single"/>
        </w:rPr>
        <w:t>E. Media Services</w:t>
      </w:r>
    </w:p>
    <w:p>
      <w:pPr>
        <w:pStyle w:val="Body"/>
        <w:ind w:start="0" w:end="0"/>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t>The major Q1 activity centered round a ‘sell’ to Enron Corp of media services for Q1 and subsequent buys to cover the position in the market. Income for Q1 was $425k.</w:t>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t>The overall portfolio position remains long 7 Benchmark Equivalent Points (NY 18/49 PR) due to the Western trade completed in 2000 (against a limit of 54 points)</w:t>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t>For the first time in Q1 we traded against a national ‘network’ market index, rather than ‘regional’ and among the new counter parties transacted with were CBS, ABC, ESPN and Fox News. We did 39 deals with 18 new CP’s.</w:t>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b/>
          <w:color w:val="000080"/>
          <w:spacing w:val="0"/>
          <w:u w:val="single"/>
          <w:lang w:val="en-US"/>
        </w:rPr>
      </w:pPr>
      <w:r>
        <w:rPr>
          <w:rFonts w:cs="Times New Roman" w:ascii="Times New Roman" w:hAnsi="Times New Roman"/>
          <w:b/>
          <w:color w:val="000080"/>
          <w:spacing w:val="0"/>
          <w:u w:val="single"/>
          <w:lang w:val="en-US"/>
        </w:rPr>
        <w:t>F. DRAM &amp; Satellite</w:t>
      </w:r>
    </w:p>
    <w:p>
      <w:pPr>
        <w:pStyle w:val="Normal"/>
        <w:rPr>
          <w:rFonts w:ascii="Times New Roman" w:hAnsi="Times New Roman" w:cs="Times New Roman"/>
          <w:b/>
          <w:color w:val="000080"/>
          <w:spacing w:val="0"/>
          <w:u w:val="single"/>
          <w:lang w:val="en-US"/>
        </w:rPr>
      </w:pPr>
      <w:r>
        <w:rPr>
          <w:rFonts w:cs="Times New Roman" w:ascii="Times New Roman" w:hAnsi="Times New Roman"/>
          <w:b/>
          <w:color w:val="000080"/>
          <w:spacing w:val="0"/>
          <w:u w:val="single"/>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t>No new deals were completed in Q1. DRam lost $(253)k on an existing long position with prices moving down. Spot prices for the N10S chip fell from $5.80 to $4.45 over the quarter.</w:t>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b/>
          <w:color w:val="000080"/>
          <w:spacing w:val="0"/>
          <w:u w:val="single"/>
          <w:lang w:val="en-US"/>
        </w:rPr>
      </w:pPr>
      <w:r>
        <w:rPr>
          <w:rFonts w:cs="Times New Roman" w:ascii="Times New Roman" w:hAnsi="Times New Roman"/>
          <w:b/>
          <w:color w:val="000080"/>
          <w:spacing w:val="0"/>
          <w:u w:val="single"/>
          <w:lang w:val="en-US"/>
        </w:rPr>
        <w:t>G. Europe</w:t>
      </w:r>
    </w:p>
    <w:p>
      <w:pPr>
        <w:pStyle w:val="Normal"/>
        <w:rPr>
          <w:rFonts w:ascii="Times New Roman" w:hAnsi="Times New Roman" w:cs="Times New Roman"/>
          <w:b/>
          <w:color w:val="000080"/>
          <w:spacing w:val="0"/>
          <w:u w:val="single"/>
          <w:lang w:val="en-US"/>
        </w:rPr>
      </w:pPr>
      <w:r>
        <w:rPr>
          <w:rFonts w:cs="Times New Roman" w:ascii="Times New Roman" w:hAnsi="Times New Roman"/>
          <w:b/>
          <w:color w:val="000080"/>
          <w:spacing w:val="0"/>
          <w:u w:val="single"/>
          <w:lang w:val="en-US"/>
        </w:rPr>
      </w:r>
    </w:p>
    <w:p>
      <w:pPr>
        <w:pStyle w:val="BodyText3"/>
        <w:rPr>
          <w:spacing w:val="0"/>
          <w:lang w:val="en-US"/>
        </w:rPr>
      </w:pPr>
      <w:r>
        <w:rPr>
          <w:spacing w:val="0"/>
          <w:lang w:val="en-US"/>
        </w:rPr>
        <w:t>Europe completed 47 transactions in Q1 (compared with 17 in 2000) and traded 43k terabytes (compared to 16k in 2000). Seventeen new counter parties have done deals so far in 2001 (compared to 12 in 2000). This clearly illustrates the rapid growth (in excess of 500%) across all the European trading metrics.</w:t>
      </w:r>
    </w:p>
    <w:p>
      <w:pPr>
        <w:pStyle w:val="BodyText3"/>
        <w:rPr>
          <w:spacing w:val="0"/>
          <w:lang w:val="en-US"/>
        </w:rPr>
      </w:pPr>
      <w:r>
        <w:rPr>
          <w:spacing w:val="0"/>
          <w:lang w:val="en-US"/>
        </w:rPr>
      </w:r>
    </w:p>
    <w:p>
      <w:pPr>
        <w:pStyle w:val="BodyText3"/>
        <w:rPr>
          <w:spacing w:val="0"/>
          <w:lang w:val="en-US"/>
        </w:rPr>
      </w:pPr>
      <w:r>
        <w:rPr>
          <w:spacing w:val="0"/>
          <w:lang w:val="en-US"/>
        </w:rPr>
        <w:t>Trading P/L for Q1 was $2.7mm, which was comprised as follows ($000’s)</w:t>
      </w:r>
    </w:p>
    <w:p>
      <w:pPr>
        <w:pStyle w:val="BodyText3"/>
        <w:rPr>
          <w:spacing w:val="0"/>
          <w:lang w:val="en-US"/>
        </w:rPr>
      </w:pPr>
      <w:r>
        <w:rPr>
          <w:spacing w:val="0"/>
          <w:lang w:val="en-US"/>
        </w:rPr>
      </w:r>
    </w:p>
    <w:p>
      <w:pPr>
        <w:pStyle w:val="BodyText3"/>
        <w:rPr>
          <w:spacing w:val="0"/>
          <w:lang w:val="en-US"/>
        </w:rPr>
      </w:pPr>
      <w:r>
        <w:rPr>
          <w:spacing w:val="0"/>
          <w:lang w:val="en-US"/>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3919855" cy="2860675"/>
            <wp:effectExtent l="0" t="0" r="0" b="0"/>
            <wp:wrapTopAndBottom/>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2"/>
                    <a:srcRect l="-9" t="-13" r="-9" b="-13"/>
                    <a:stretch>
                      <a:fillRect/>
                    </a:stretch>
                  </pic:blipFill>
                  <pic:spPr bwMode="auto">
                    <a:xfrm>
                      <a:off x="0" y="0"/>
                      <a:ext cx="3919855" cy="2860675"/>
                    </a:xfrm>
                    <a:prstGeom prst="rect">
                      <a:avLst/>
                    </a:prstGeom>
                    <a:noFill/>
                  </pic:spPr>
                </pic:pic>
              </a:graphicData>
            </a:graphic>
          </wp:anchor>
        </w:drawing>
      </w:r>
    </w:p>
    <w:p>
      <w:pPr>
        <w:pStyle w:val="BodyText3"/>
        <w:rPr>
          <w:spacing w:val="0"/>
          <w:lang w:val="en-US"/>
        </w:rPr>
      </w:pPr>
      <w:r>
        <w:rPr>
          <w:spacing w:val="0"/>
          <w:lang w:val="en-US"/>
        </w:rPr>
        <w:t xml:space="preserve">The NETS (a sub of Tiscali, a European Telco) call-option gives EBS the right to buy capacity (STM-x) on the NETS European network for 5 years (up to 500 potential city pairs). We have currently exercised one city pair, a 12 month STM-1, London/Madrid. This has been subsequently sold on at a gain to Carrier 1. </w:t>
      </w:r>
    </w:p>
    <w:p>
      <w:pPr>
        <w:pStyle w:val="BodyText3"/>
        <w:rPr>
          <w:spacing w:val="0"/>
          <w:lang w:val="en-US"/>
        </w:rPr>
      </w:pPr>
      <w:r>
        <w:rPr>
          <w:spacing w:val="0"/>
          <w:lang w:val="en-US"/>
        </w:rPr>
      </w:r>
    </w:p>
    <w:p>
      <w:pPr>
        <w:pStyle w:val="BodyText3"/>
        <w:rPr>
          <w:spacing w:val="0"/>
          <w:lang w:val="en-US"/>
        </w:rPr>
      </w:pPr>
      <w:r>
        <w:rPr>
          <w:spacing w:val="0"/>
          <w:lang w:val="en-US"/>
        </w:rPr>
        <w:t>A similar call-option transaction has been completed with Evia, an Italian carrier, again for 5 years. No value has been taken on this yet as their system in not operational (due on 9/01).</w:t>
      </w:r>
    </w:p>
    <w:p>
      <w:pPr>
        <w:pStyle w:val="BodyText3"/>
        <w:rPr>
          <w:spacing w:val="0"/>
          <w:lang w:val="en-US"/>
        </w:rPr>
      </w:pPr>
      <w:r>
        <w:rPr>
          <w:spacing w:val="0"/>
          <w:lang w:val="en-US"/>
        </w:rPr>
      </w:r>
    </w:p>
    <w:p>
      <w:pPr>
        <w:pStyle w:val="BodyText3"/>
        <w:rPr>
          <w:spacing w:val="0"/>
          <w:lang w:val="en-US"/>
        </w:rPr>
      </w:pPr>
      <w:r>
        <w:rPr>
          <w:spacing w:val="0"/>
          <w:lang w:val="en-US"/>
        </w:rPr>
        <w:t>The European Long Haul Books combined have an open short position of 87.9k terabytes, mainly due to the Trans-Atlantic sales to Telstra and Quantum.</w:t>
      </w:r>
    </w:p>
    <w:p>
      <w:pPr>
        <w:pStyle w:val="BodyText3"/>
        <w:rPr>
          <w:spacing w:val="0"/>
          <w:lang w:val="en-US"/>
        </w:rPr>
      </w:pPr>
      <w:r>
        <w:rPr>
          <w:spacing w:val="0"/>
          <w:lang w:val="en-US"/>
        </w:rPr>
      </w:r>
    </w:p>
    <w:p>
      <w:pPr>
        <w:pStyle w:val="BodyText3"/>
        <w:rPr>
          <w:spacing w:val="0"/>
          <w:lang w:val="en-US"/>
        </w:rPr>
      </w:pPr>
      <w:r>
        <w:rPr>
          <w:spacing w:val="0"/>
          <w:lang w:val="en-US"/>
        </w:rPr>
        <w:t>Year to date, Europe have also completed, aside from Long Haul, an IP trade and 15 Local Loop deals.</w:t>
      </w:r>
    </w:p>
    <w:p>
      <w:pPr>
        <w:pStyle w:val="BodyText3"/>
        <w:rPr>
          <w:spacing w:val="0"/>
          <w:lang w:val="en-US"/>
        </w:rPr>
      </w:pPr>
      <w:r>
        <w:rPr>
          <w:spacing w:val="0"/>
          <w:lang w:val="en-US"/>
        </w:rPr>
      </w:r>
    </w:p>
    <w:p>
      <w:pPr>
        <w:pStyle w:val="BodyText3"/>
        <w:rPr>
          <w:spacing w:val="0"/>
          <w:lang w:val="en-US"/>
        </w:rPr>
      </w:pPr>
      <w:r>
        <w:rPr>
          <w:spacing w:val="0"/>
          <w:lang w:val="en-US"/>
        </w:rPr>
      </w:r>
    </w:p>
    <w:p>
      <w:pPr>
        <w:pStyle w:val="BodyText3"/>
        <w:rPr>
          <w:spacing w:val="0"/>
          <w:lang w:val="en-US"/>
        </w:rPr>
      </w:pPr>
      <w:r>
        <w:rPr>
          <w:spacing w:val="0"/>
          <w:lang w:val="en-US"/>
        </w:rPr>
      </w:r>
    </w:p>
    <w:p>
      <w:pPr>
        <w:pStyle w:val="BodyText3"/>
        <w:rPr>
          <w:spacing w:val="0"/>
          <w:lang w:val="en-US"/>
        </w:rPr>
      </w:pPr>
      <w:r>
        <w:rPr>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t xml:space="preserve"> </w:t>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p>
      <w:pPr>
        <w:pStyle w:val="Normal"/>
        <w:rPr>
          <w:rFonts w:ascii="Times New Roman" w:hAnsi="Times New Roman" w:cs="Times New Roman"/>
          <w:color w:val="000080"/>
          <w:spacing w:val="0"/>
          <w:lang w:val="en-US"/>
        </w:rPr>
      </w:pPr>
      <w:r>
        <w:rPr>
          <w:rFonts w:cs="Times New Roman" w:ascii="Times New Roman" w:hAnsi="Times New Roman"/>
          <w:color w:val="000080"/>
          <w:spacing w:val="0"/>
          <w:lang w:val="en-US"/>
        </w:rPr>
      </w:r>
    </w:p>
    <w:sectPr>
      <w:headerReference w:type="default" r:id="rId13"/>
      <w:footerReference w:type="default" r:id="rId14"/>
      <w:type w:val="nextPage"/>
      <w:pgSz w:w="11906" w:h="16838"/>
      <w:pgMar w:left="1797" w:right="1797" w:gutter="0" w:header="720" w:top="168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tab/>
      <w:t>Interoffice Memo</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3"/>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GB" w:eastAsia="zh-CN" w:bidi="hi-IN"/>
    </w:rPr>
  </w:style>
  <w:style w:type="paragraph" w:styleId="Heading1">
    <w:name w:val="heading 1"/>
    <w:basedOn w:val="HeadingBase"/>
    <w:next w:val="BodyText"/>
    <w:qFormat/>
    <w:pPr>
      <w:numPr>
        <w:ilvl w:val="0"/>
        <w:numId w:val="1"/>
      </w:numPr>
      <w:spacing w:lineRule="atLeast" w:line="200" w:before="0" w:after="220"/>
      <w:outlineLvl w:val="0"/>
    </w:pPr>
    <w:rPr>
      <w:sz w:val="22"/>
    </w:rPr>
  </w:style>
  <w:style w:type="paragraph" w:styleId="Heading2">
    <w:name w:val="heading 2"/>
    <w:basedOn w:val="HeadingBase"/>
    <w:next w:val="BodyText"/>
    <w:qFormat/>
    <w:pPr>
      <w:numPr>
        <w:ilvl w:val="1"/>
        <w:numId w:val="1"/>
      </w:numPr>
      <w:spacing w:lineRule="atLeast" w:line="200"/>
      <w:outlineLvl w:val="1"/>
    </w:pPr>
    <w:rPr/>
  </w:style>
  <w:style w:type="paragraph" w:styleId="Heading3">
    <w:name w:val="heading 3"/>
    <w:basedOn w:val="HeadingBase"/>
    <w:next w:val="BodyText"/>
    <w:qFormat/>
    <w:pPr>
      <w:numPr>
        <w:ilvl w:val="2"/>
        <w:numId w:val="1"/>
      </w:numPr>
      <w:ind w:hanging="0" w:start="360" w:end="0"/>
      <w:outlineLvl w:val="2"/>
    </w:pPr>
    <w:rPr>
      <w:spacing w:val="-5"/>
    </w:rPr>
  </w:style>
  <w:style w:type="paragraph" w:styleId="Heading4">
    <w:name w:val="heading 4"/>
    <w:basedOn w:val="HeadingBase"/>
    <w:next w:val="BodyText"/>
    <w:qFormat/>
    <w:pPr>
      <w:numPr>
        <w:ilvl w:val="3"/>
        <w:numId w:val="1"/>
      </w:numPr>
      <w:ind w:hanging="0" w:start="720" w:end="0"/>
      <w:outlineLvl w:val="3"/>
    </w:pPr>
    <w:rPr>
      <w:spacing w:val="-2"/>
      <w:sz w:val="18"/>
    </w:rPr>
  </w:style>
  <w:style w:type="paragraph" w:styleId="Heading5">
    <w:name w:val="heading 5"/>
    <w:basedOn w:val="HeadingBase"/>
    <w:next w:val="BodyText"/>
    <w:qFormat/>
    <w:pPr>
      <w:numPr>
        <w:ilvl w:val="4"/>
        <w:numId w:val="1"/>
      </w:numPr>
      <w:ind w:hanging="0" w:start="1080" w:end="0"/>
      <w:outlineLvl w:val="4"/>
    </w:pPr>
    <w:rPr>
      <w:spacing w:val="-2"/>
      <w:sz w:val="18"/>
    </w:rPr>
  </w:style>
  <w:style w:type="paragraph" w:styleId="Heading6">
    <w:name w:val="heading 6"/>
    <w:basedOn w:val="HeadingBase"/>
    <w:next w:val="BodyText"/>
    <w:qFormat/>
    <w:pPr>
      <w:numPr>
        <w:ilvl w:val="5"/>
        <w:numId w:val="1"/>
      </w:numPr>
      <w:ind w:hanging="0" w:start="1440" w:end="0"/>
      <w:outlineLvl w:val="5"/>
    </w:pPr>
    <w:rPr>
      <w:spacing w:val="-4"/>
      <w:sz w:val="18"/>
    </w:rPr>
  </w:style>
  <w:style w:type="paragraph" w:styleId="Heading7">
    <w:name w:val="heading 7"/>
    <w:basedOn w:val="HeadingBase"/>
    <w:next w:val="BodyText"/>
    <w:qFormat/>
    <w:pPr>
      <w:numPr>
        <w:ilvl w:val="6"/>
        <w:numId w:val="1"/>
      </w:numPr>
      <w:ind w:hanging="0" w:start="1800" w:end="0"/>
      <w:outlineLvl w:val="6"/>
    </w:pPr>
    <w:rPr>
      <w:spacing w:val="-4"/>
      <w:sz w:val="18"/>
    </w:rPr>
  </w:style>
  <w:style w:type="paragraph" w:styleId="Heading8">
    <w:name w:val="heading 8"/>
    <w:basedOn w:val="HeadingBase"/>
    <w:next w:val="BodyText"/>
    <w:qFormat/>
    <w:pPr>
      <w:numPr>
        <w:ilvl w:val="7"/>
        <w:numId w:val="1"/>
      </w:numPr>
      <w:ind w:hanging="0" w:start="2160" w:end="0"/>
      <w:outlineLvl w:val="7"/>
    </w:pPr>
    <w:rPr>
      <w:spacing w:val="-4"/>
      <w:sz w:val="18"/>
    </w:rPr>
  </w:style>
  <w:style w:type="paragraph" w:styleId="Heading9">
    <w:name w:val="heading 9"/>
    <w:basedOn w:val="HeadingBase"/>
    <w:next w:val="BodyText"/>
    <w:qFormat/>
    <w:pPr>
      <w:numPr>
        <w:ilvl w:val="8"/>
        <w:numId w:val="1"/>
      </w:numPr>
      <w:ind w:hanging="0" w:start="2520" w:end="0"/>
      <w:outlineLvl w:val="8"/>
    </w:pPr>
    <w:rPr>
      <w:spacing w:val="-4"/>
      <w:sz w:val="1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z w:val="18"/>
    </w:rPr>
  </w:style>
  <w:style w:type="character" w:styleId="LineNumber">
    <w:name w:val="line number"/>
    <w:basedOn w:val="DefaultParagraphFont"/>
    <w:rPr>
      <w:sz w:val="18"/>
    </w:rPr>
  </w:style>
  <w:style w:type="character" w:styleId="PageNumber">
    <w:name w:val="page number"/>
    <w:basedOn w:val="DefaultParagraphFont"/>
    <w:rPr>
      <w:sz w:val="18"/>
    </w:rPr>
  </w:style>
  <w:style w:type="character" w:styleId="Superscript">
    <w:name w:val="Superscript"/>
    <w:qFormat/>
    <w:rPr>
      <w:vertAlign w:val="superscript"/>
    </w:rPr>
  </w:style>
  <w:style w:type="character" w:styleId="MessageHeaderLabel">
    <w:name w:val="Message Header Label"/>
    <w:qFormat/>
    <w:rPr>
      <w:rFonts w:ascii="Arial Black" w:hAnsi="Arial Black" w:cs="Arial Black"/>
      <w:spacing w:val="-10"/>
      <w:sz w:val="18"/>
    </w:rPr>
  </w:style>
  <w:style w:type="character" w:styleId="Emphasis">
    <w:name w:val="Emphasis"/>
    <w:qFormat/>
    <w:rPr>
      <w:rFonts w:ascii="Arial Black" w:hAnsi="Arial Black" w:cs="Arial Black"/>
      <w:sz w:val="18"/>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BlockQuotation">
    <w:name w:val="Block Quotation"/>
    <w:basedOn w:val="BodyText"/>
    <w:qFormat/>
    <w:pPr>
      <w:keepLines/>
      <w:ind w:hanging="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MessageHeaderFirst">
    <w:name w:val="Message Header First"/>
    <w:basedOn w:val="MessageHeader"/>
    <w:next w:val="MessageHeader"/>
    <w:qFormat/>
    <w:pPr>
      <w:spacing w:before="220" w:after="120"/>
    </w:pPr>
    <w:rPr/>
  </w:style>
  <w:style w:type="paragraph" w:styleId="EndnoteText">
    <w:name w:val="endnote text"/>
    <w:basedOn w:val="FootnoteBase"/>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FootnoteText">
    <w:name w:val="footnote text"/>
    <w:basedOn w:val="FootnoteBase"/>
    <w:pPr/>
    <w:rPr/>
  </w:style>
  <w:style w:type="paragraph" w:styleId="Header">
    <w:name w:val="header"/>
    <w:basedOn w:val="HeaderBase"/>
    <w:pPr>
      <w:spacing w:before="0" w:after="600"/>
    </w:pPr>
    <w:rPr/>
  </w:style>
  <w:style w:type="paragraph" w:styleId="ListBullet">
    <w:name w:val="List Bullet"/>
    <w:basedOn w:val="List"/>
    <w:qFormat/>
    <w:pPr>
      <w:numPr>
        <w:ilvl w:val="0"/>
        <w:numId w:val="5"/>
      </w:numPr>
      <w:ind w:hanging="360" w:start="720" w:end="720"/>
    </w:pPr>
    <w:rPr/>
  </w:style>
  <w:style w:type="paragraph" w:styleId="ListNumber">
    <w:name w:val="List Number"/>
    <w:basedOn w:val="List"/>
    <w:qFormat/>
    <w:pPr>
      <w:numPr>
        <w:ilvl w:val="0"/>
        <w:numId w:val="6"/>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numPr>
        <w:ilvl w:val="0"/>
        <w:numId w:val="7"/>
      </w:num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numPr>
        <w:ilvl w:val="0"/>
        <w:numId w:val="8"/>
      </w:numPr>
      <w:ind w:hanging="360" w:start="1080" w:end="720"/>
    </w:pPr>
    <w:rPr/>
  </w:style>
  <w:style w:type="paragraph" w:styleId="ListNumber3">
    <w:name w:val="List Number 3"/>
    <w:basedOn w:val="ListNumber"/>
    <w:qFormat/>
    <w:pPr>
      <w:numPr>
        <w:ilvl w:val="0"/>
        <w:numId w:val="9"/>
      </w:num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qFormat/>
    <w:pPr>
      <w:keepNext w:val="true"/>
      <w:spacing w:lineRule="atLeast" w:line="220"/>
    </w:pPr>
    <w:rPr/>
  </w:style>
  <w:style w:type="paragraph" w:styleId="CommentText">
    <w:name w:val="Comment Text"/>
    <w:basedOn w:val="FootnoteBase"/>
    <w:qFormat/>
    <w:pPr/>
    <w:rPr/>
  </w:style>
  <w:style w:type="paragraph" w:styleId="BodyText2">
    <w:name w:val="Body Text 2"/>
    <w:basedOn w:val="BodyText"/>
    <w:qFormat/>
    <w:pPr>
      <w:ind w:hanging="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ReturnAddress">
    <w:name w:val="Return Address"/>
    <w:basedOn w:val="Normal"/>
    <w:qFormat/>
    <w:pPr>
      <w:keepLines/>
      <w:tabs>
        <w:tab w:val="clear" w:pos="720"/>
        <w:tab w:val="left" w:pos="2640" w:leader="none"/>
      </w:tabs>
      <w:spacing w:lineRule="atLeast" w:line="200"/>
    </w:pPr>
    <w:rPr>
      <w:spacing w:val="-2"/>
      <w:sz w:val="16"/>
    </w:rPr>
  </w:style>
  <w:style w:type="paragraph" w:styleId="CompanyName">
    <w:name w:val="Company Name"/>
    <w:basedOn w:val="ReturnAddress"/>
    <w:qFormat/>
    <w:pPr>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Enclosure">
    <w:name w:val="Enclosure"/>
    <w:basedOn w:val="BodyText"/>
    <w:next w:val="Normal"/>
    <w:qFormat/>
    <w:pPr>
      <w:keepLines/>
      <w:spacing w:before="220" w:after="220"/>
      <w:jc w:val="start"/>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ListNumber4">
    <w:name w:val="List Number 4"/>
    <w:basedOn w:val="ListNumber"/>
    <w:qFormat/>
    <w:pPr>
      <w:numPr>
        <w:ilvl w:val="0"/>
        <w:numId w:val="10"/>
      </w:num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Body">
    <w:name w:val="Body"/>
    <w:basedOn w:val="Normal"/>
    <w:qFormat/>
    <w:pPr>
      <w:ind w:hanging="0" w:start="72" w:end="0"/>
    </w:pPr>
    <w:rPr>
      <w:color w:val="000080"/>
      <w:spacing w:val="0"/>
      <w:lang w:val="en-US"/>
    </w:rPr>
  </w:style>
  <w:style w:type="paragraph" w:styleId="BodyText3">
    <w:name w:val="Body Text 3"/>
    <w:basedOn w:val="Normal"/>
    <w:qFormat/>
    <w:pPr/>
    <w:rPr>
      <w:rFonts w:ascii="Times New Roman" w:hAnsi="Times New Roman" w:cs="Times New Roman"/>
      <w:color w:val="000080"/>
    </w:rPr>
  </w:style>
  <w:style w:type="paragraph" w:styleId="BodyTextIndent">
    <w:name w:val="Body Text Indent"/>
    <w:basedOn w:val="Normal"/>
    <w:pPr>
      <w:ind w:hanging="0" w:start="720" w:end="0"/>
    </w:pPr>
    <w:rPr>
      <w:rFonts w:ascii="Times New Roman" w:hAnsi="Times New Roman" w:cs="Times New Roman"/>
      <w:spacing w:val="0"/>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package" Target="embeddings/oleObject3.xlsx"/><Relationship Id="rId9" Type="http://schemas.openxmlformats.org/officeDocument/2006/relationships/image" Target="media/image4.wmf"/><Relationship Id="rId10" Type="http://schemas.openxmlformats.org/officeDocument/2006/relationships/package" Target="embeddings/oleObject4.xlsx"/><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2001-04-06T14:01:00Z</dcterms:created>
  <dc:creator>Unknown</dc:creator>
  <dc:description/>
  <dc:language>en-CA</dc:language>
  <cp:lastModifiedBy>barry_pearce</cp:lastModifiedBy>
  <cp:lastPrinted>2001-04-06T11:14:00Z</cp:lastPrinted>
  <dcterms:modified xsi:type="dcterms:W3CDTF">2001-04-06T14:01:00Z</dcterms:modified>
  <cp:revision>2</cp:revision>
  <dc:subject/>
  <dc:title>Helps you design a customized memo</dc:title>
</cp:coreProperties>
</file>