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aps/>
          <w:sz w:val="17"/>
        </w:rPr>
      </w:pPr>
      <w:r>
        <w:rPr>
          <w:caps/>
          <w:sz w:val="17"/>
        </w:rPr>
        <w:t>Gas Purchase Agreements</w:t>
      </w:r>
    </w:p>
    <w:p>
      <w:pPr>
        <w:pStyle w:val="Normal"/>
        <w:jc w:val="both"/>
        <w:rPr>
          <w:caps/>
          <w:sz w:val="17"/>
        </w:rPr>
      </w:pPr>
      <w:r>
        <w:rPr>
          <w:caps/>
          <w:sz w:val="17"/>
        </w:rPr>
      </w:r>
    </w:p>
    <w:tbl>
      <w:tblPr>
        <w:tblW w:w="18738" w:type="dxa"/>
        <w:jc w:val="start"/>
        <w:tblInd w:w="198" w:type="dxa"/>
        <w:tblLayout w:type="fixed"/>
        <w:tblCellMar>
          <w:top w:w="0" w:type="dxa"/>
          <w:start w:w="108" w:type="dxa"/>
          <w:bottom w:w="0" w:type="dxa"/>
          <w:end w:w="108" w:type="dxa"/>
        </w:tblCellMar>
      </w:tblPr>
      <w:tblGrid>
        <w:gridCol w:w="408"/>
        <w:gridCol w:w="2155"/>
        <w:gridCol w:w="1719"/>
        <w:gridCol w:w="1928"/>
        <w:gridCol w:w="927"/>
        <w:gridCol w:w="2736"/>
        <w:gridCol w:w="2955"/>
        <w:gridCol w:w="2955"/>
        <w:gridCol w:w="2955"/>
      </w:tblGrid>
      <w:tr>
        <w:trPr>
          <w:tblHeader w:val="true"/>
        </w:trPr>
        <w:tc>
          <w:tcPr>
            <w:tcW w:w="408" w:type="dxa"/>
            <w:tcBorders>
              <w:top w:val="single" w:sz="12" w:space="0" w:color="000000"/>
              <w:start w:val="single" w:sz="12" w:space="0" w:color="000000"/>
              <w:end w:val="single" w:sz="6" w:space="0" w:color="000000"/>
            </w:tcBorders>
            <w:shd w:fill="CCCCCC" w:val="clear"/>
          </w:tcPr>
          <w:p>
            <w:pPr>
              <w:pStyle w:val="Normal"/>
              <w:snapToGrid w:val="false"/>
              <w:jc w:val="center"/>
              <w:rPr>
                <w:b/>
                <w:caps/>
                <w:sz w:val="17"/>
              </w:rPr>
            </w:pPr>
            <w:r>
              <w:rPr>
                <w:b/>
                <w:caps/>
                <w:sz w:val="17"/>
              </w:rPr>
            </w:r>
          </w:p>
        </w:tc>
        <w:tc>
          <w:tcPr>
            <w:tcW w:w="2155" w:type="dxa"/>
            <w:tcBorders>
              <w:top w:val="single" w:sz="12" w:space="0" w:color="000000"/>
              <w:start w:val="single" w:sz="6" w:space="0" w:color="000000"/>
              <w:end w:val="single" w:sz="6" w:space="0" w:color="000000"/>
            </w:tcBorders>
            <w:shd w:fill="CCCCCC" w:val="clear"/>
          </w:tcPr>
          <w:p>
            <w:pPr>
              <w:pStyle w:val="Normal"/>
              <w:snapToGrid w:val="false"/>
              <w:jc w:val="center"/>
              <w:rPr>
                <w:b/>
                <w:caps/>
                <w:sz w:val="17"/>
              </w:rPr>
            </w:pPr>
            <w:r>
              <w:rPr>
                <w:b/>
                <w:caps/>
                <w:sz w:val="17"/>
              </w:rPr>
            </w:r>
          </w:p>
          <w:p>
            <w:pPr>
              <w:pStyle w:val="Normal"/>
              <w:jc w:val="center"/>
              <w:rPr>
                <w:b/>
                <w:caps/>
                <w:sz w:val="17"/>
              </w:rPr>
            </w:pPr>
            <w:r>
              <w:rPr>
                <w:b/>
                <w:caps/>
                <w:sz w:val="17"/>
              </w:rPr>
            </w:r>
          </w:p>
          <w:p>
            <w:pPr>
              <w:pStyle w:val="Normal"/>
              <w:jc w:val="center"/>
              <w:rPr>
                <w:b/>
                <w:caps/>
                <w:sz w:val="17"/>
              </w:rPr>
            </w:pPr>
            <w:r>
              <w:rPr>
                <w:b/>
                <w:caps/>
                <w:sz w:val="17"/>
              </w:rPr>
              <w:t>Counterparty</w:t>
            </w:r>
          </w:p>
        </w:tc>
        <w:tc>
          <w:tcPr>
            <w:tcW w:w="1719" w:type="dxa"/>
            <w:tcBorders>
              <w:top w:val="single" w:sz="12" w:space="0" w:color="000000"/>
              <w:start w:val="single" w:sz="6" w:space="0" w:color="000000"/>
              <w:end w:val="single" w:sz="6" w:space="0" w:color="000000"/>
            </w:tcBorders>
            <w:shd w:fill="CCCCCC" w:val="clear"/>
          </w:tcPr>
          <w:p>
            <w:pPr>
              <w:pStyle w:val="Normal"/>
              <w:snapToGrid w:val="false"/>
              <w:rPr>
                <w:b/>
                <w:caps/>
                <w:sz w:val="17"/>
              </w:rPr>
            </w:pPr>
            <w:r>
              <w:rPr>
                <w:b/>
                <w:caps/>
                <w:sz w:val="17"/>
              </w:rPr>
            </w:r>
          </w:p>
          <w:p>
            <w:pPr>
              <w:pStyle w:val="Normal"/>
              <w:rPr>
                <w:b/>
                <w:caps/>
                <w:sz w:val="17"/>
              </w:rPr>
            </w:pPr>
            <w:r>
              <w:rPr>
                <w:b/>
                <w:caps/>
                <w:sz w:val="17"/>
              </w:rPr>
            </w:r>
          </w:p>
          <w:p>
            <w:pPr>
              <w:pStyle w:val="Normal"/>
              <w:jc w:val="center"/>
              <w:rPr>
                <w:b/>
                <w:caps/>
                <w:sz w:val="17"/>
              </w:rPr>
            </w:pPr>
            <w:r>
              <w:rPr>
                <w:b/>
                <w:caps/>
                <w:sz w:val="17"/>
              </w:rPr>
              <w:t>Contract type</w:t>
            </w:r>
          </w:p>
        </w:tc>
        <w:tc>
          <w:tcPr>
            <w:tcW w:w="1928" w:type="dxa"/>
            <w:tcBorders>
              <w:top w:val="single" w:sz="12" w:space="0" w:color="000000"/>
              <w:start w:val="single" w:sz="6" w:space="0" w:color="000000"/>
              <w:end w:val="single" w:sz="6" w:space="0" w:color="000000"/>
            </w:tcBorders>
            <w:shd w:fill="CCCCCC" w:val="clear"/>
          </w:tcPr>
          <w:p>
            <w:pPr>
              <w:pStyle w:val="Normal"/>
              <w:snapToGrid w:val="false"/>
              <w:jc w:val="center"/>
              <w:rPr>
                <w:b/>
                <w:caps/>
                <w:sz w:val="17"/>
              </w:rPr>
            </w:pPr>
            <w:r>
              <w:rPr>
                <w:b/>
                <w:caps/>
                <w:sz w:val="17"/>
              </w:rPr>
            </w:r>
          </w:p>
          <w:p>
            <w:pPr>
              <w:pStyle w:val="Normal"/>
              <w:jc w:val="center"/>
              <w:rPr>
                <w:b/>
                <w:caps/>
                <w:sz w:val="17"/>
              </w:rPr>
            </w:pPr>
            <w:r>
              <w:rPr>
                <w:b/>
                <w:caps/>
                <w:sz w:val="17"/>
              </w:rPr>
            </w:r>
          </w:p>
          <w:p>
            <w:pPr>
              <w:pStyle w:val="Normal"/>
              <w:jc w:val="center"/>
              <w:rPr>
                <w:b/>
                <w:caps/>
                <w:sz w:val="17"/>
              </w:rPr>
            </w:pPr>
            <w:r>
              <w:rPr>
                <w:b/>
                <w:caps/>
                <w:sz w:val="17"/>
              </w:rPr>
              <w:t>enron entity</w:t>
            </w:r>
          </w:p>
        </w:tc>
        <w:tc>
          <w:tcPr>
            <w:tcW w:w="927" w:type="dxa"/>
            <w:tcBorders>
              <w:top w:val="single" w:sz="12" w:space="0" w:color="000000"/>
              <w:start w:val="single" w:sz="6" w:space="0" w:color="000000"/>
              <w:end w:val="single" w:sz="6" w:space="0" w:color="000000"/>
            </w:tcBorders>
            <w:shd w:fill="CCCCCC" w:val="clear"/>
          </w:tcPr>
          <w:p>
            <w:pPr>
              <w:pStyle w:val="Normal"/>
              <w:snapToGrid w:val="false"/>
              <w:rPr>
                <w:b/>
                <w:caps/>
                <w:sz w:val="17"/>
              </w:rPr>
            </w:pPr>
            <w:r>
              <w:rPr>
                <w:b/>
                <w:caps/>
                <w:sz w:val="17"/>
              </w:rPr>
            </w:r>
          </w:p>
          <w:p>
            <w:pPr>
              <w:pStyle w:val="Normal"/>
              <w:rPr>
                <w:b/>
                <w:caps/>
                <w:sz w:val="17"/>
              </w:rPr>
            </w:pPr>
            <w:r>
              <w:rPr>
                <w:b/>
                <w:caps/>
                <w:sz w:val="17"/>
              </w:rPr>
            </w:r>
          </w:p>
          <w:p>
            <w:pPr>
              <w:pStyle w:val="Normal"/>
              <w:jc w:val="center"/>
              <w:rPr>
                <w:b/>
                <w:caps/>
                <w:sz w:val="17"/>
              </w:rPr>
            </w:pPr>
            <w:r>
              <w:rPr>
                <w:b/>
                <w:caps/>
                <w:sz w:val="17"/>
              </w:rPr>
              <w:t>Date</w:t>
            </w:r>
          </w:p>
        </w:tc>
        <w:tc>
          <w:tcPr>
            <w:tcW w:w="2736" w:type="dxa"/>
            <w:tcBorders>
              <w:top w:val="single" w:sz="12" w:space="0" w:color="000000"/>
              <w:start w:val="single" w:sz="6" w:space="0" w:color="000000"/>
              <w:end w:val="single" w:sz="6" w:space="0" w:color="000000"/>
            </w:tcBorders>
            <w:shd w:fill="CCCCCC" w:val="clear"/>
          </w:tcPr>
          <w:p>
            <w:pPr>
              <w:pStyle w:val="Normal"/>
              <w:snapToGrid w:val="false"/>
              <w:rPr>
                <w:b/>
                <w:caps/>
                <w:sz w:val="17"/>
              </w:rPr>
            </w:pPr>
            <w:r>
              <w:rPr>
                <w:b/>
                <w:caps/>
                <w:sz w:val="17"/>
              </w:rPr>
            </w:r>
          </w:p>
          <w:p>
            <w:pPr>
              <w:pStyle w:val="Normal"/>
              <w:jc w:val="center"/>
              <w:rPr>
                <w:b/>
                <w:caps/>
                <w:sz w:val="17"/>
              </w:rPr>
            </w:pPr>
            <w:r>
              <w:rPr>
                <w:b/>
                <w:caps/>
                <w:sz w:val="17"/>
              </w:rPr>
              <w:t>TERM Provisions</w:t>
            </w:r>
          </w:p>
        </w:tc>
        <w:tc>
          <w:tcPr>
            <w:tcW w:w="2955" w:type="dxa"/>
            <w:tcBorders>
              <w:top w:val="single" w:sz="12" w:space="0" w:color="000000"/>
              <w:start w:val="single" w:sz="6" w:space="0" w:color="000000"/>
              <w:end w:val="single" w:sz="6" w:space="0" w:color="000000"/>
            </w:tcBorders>
            <w:shd w:fill="CCCCCC" w:val="clear"/>
          </w:tcPr>
          <w:p>
            <w:pPr>
              <w:pStyle w:val="Normal"/>
              <w:snapToGrid w:val="false"/>
              <w:jc w:val="center"/>
              <w:rPr>
                <w:b/>
                <w:caps/>
                <w:sz w:val="17"/>
              </w:rPr>
            </w:pPr>
            <w:r>
              <w:rPr>
                <w:b/>
                <w:caps/>
                <w:sz w:val="17"/>
              </w:rPr>
            </w:r>
          </w:p>
          <w:p>
            <w:pPr>
              <w:pStyle w:val="Normal"/>
              <w:jc w:val="center"/>
              <w:rPr>
                <w:b/>
                <w:caps/>
                <w:sz w:val="17"/>
              </w:rPr>
            </w:pPr>
            <w:r>
              <w:rPr>
                <w:b/>
                <w:caps/>
                <w:sz w:val="17"/>
              </w:rPr>
              <w:t>Pricing Provisions as to renegotiation</w:t>
            </w:r>
          </w:p>
          <w:p>
            <w:pPr>
              <w:pStyle w:val="Normal"/>
              <w:jc w:val="center"/>
              <w:rPr>
                <w:b/>
                <w:caps/>
                <w:sz w:val="17"/>
              </w:rPr>
            </w:pPr>
            <w:r>
              <w:rPr>
                <w:b/>
                <w:caps/>
                <w:sz w:val="17"/>
              </w:rPr>
            </w:r>
          </w:p>
        </w:tc>
        <w:tc>
          <w:tcPr>
            <w:tcW w:w="2955" w:type="dxa"/>
            <w:tcBorders>
              <w:top w:val="single" w:sz="12" w:space="0" w:color="000000"/>
              <w:start w:val="single" w:sz="6" w:space="0" w:color="000000"/>
              <w:end w:val="single" w:sz="6" w:space="0" w:color="000000"/>
            </w:tcBorders>
            <w:shd w:fill="CCCCCC" w:val="clear"/>
          </w:tcPr>
          <w:p>
            <w:pPr>
              <w:pStyle w:val="Normal"/>
              <w:jc w:val="center"/>
              <w:rPr>
                <w:b/>
                <w:caps/>
                <w:sz w:val="17"/>
              </w:rPr>
            </w:pPr>
            <w:r>
              <w:rPr>
                <w:b/>
                <w:caps/>
                <w:sz w:val="17"/>
              </w:rPr>
              <w:t>Confidentiality Provisions</w:t>
            </w:r>
          </w:p>
        </w:tc>
        <w:tc>
          <w:tcPr>
            <w:tcW w:w="2955" w:type="dxa"/>
            <w:tcBorders>
              <w:top w:val="single" w:sz="12" w:space="0" w:color="000000"/>
              <w:start w:val="single" w:sz="6" w:space="0" w:color="000000"/>
              <w:end w:val="single" w:sz="6" w:space="0" w:color="000000"/>
            </w:tcBorders>
            <w:shd w:fill="CCCCCC" w:val="clear"/>
          </w:tcPr>
          <w:p>
            <w:pPr>
              <w:pStyle w:val="Normal"/>
              <w:jc w:val="center"/>
              <w:rPr>
                <w:b/>
                <w:caps/>
                <w:sz w:val="17"/>
              </w:rPr>
            </w:pPr>
            <w:r>
              <w:rPr>
                <w:b/>
                <w:caps/>
                <w:sz w:val="17"/>
              </w:rPr>
              <w:t>Buyer Purchase Obligations</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jc w:val="center"/>
              <w:rPr>
                <w:caps/>
                <w:sz w:val="17"/>
              </w:rPr>
            </w:pPr>
            <w:r>
              <w:rPr>
                <w:caps/>
                <w:sz w:val="17"/>
              </w:rPr>
              <w:t>6.</w:t>
              <w:tab/>
            </w:r>
          </w:p>
        </w:tc>
        <w:tc>
          <w:tcPr>
            <w:tcW w:w="2155"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MTG Operating Company and Michael T. Guthrie</w:t>
            </w:r>
          </w:p>
        </w:tc>
        <w:tc>
          <w:tcPr>
            <w:tcW w:w="1719"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Gas Purchase Agreement</w:t>
            </w:r>
          </w:p>
        </w:tc>
        <w:tc>
          <w:tcPr>
            <w:tcW w:w="1928"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North America Corp.</w:t>
            </w:r>
          </w:p>
        </w:tc>
        <w:tc>
          <w:tcPr>
            <w:tcW w:w="927"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10/22/99</w:t>
            </w:r>
          </w:p>
        </w:tc>
        <w:tc>
          <w:tcPr>
            <w:tcW w:w="2736"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Ten years from the effective date (10/22/99) and Month to Month thereafter with 90 days notice. Upon Termination the Gathering Services Agreement shall be in effect and controlling.</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Initial Price Term (“IPT”) 2 years from WIC In-Service Date (12/1/99) and month to month thereafter until either party makes the Renegotiation Election. With 30 days notice prior to the end of the IPT or any subsequent Gathering Services Term (Undefined) or any time thereafter either party may elect to renegotiate.  If parties are unable to agree within 60 days then in lieu of purchases, Sellers gas shall be governed by the Gathering Services Agreement</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except to comply with law with respect to Notice of Gas Contract to the Gas Purchase Agreement.  </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Buyer to Purchase and receive or cause to be received for buyer’s account seller’s daily deliverability of gas up to the max dq (60,000 mmbtu/day)</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numPr>
                <w:ilvl w:val="0"/>
                <w:numId w:val="2"/>
              </w:numPr>
              <w:snapToGrid w:val="false"/>
              <w:jc w:val="center"/>
              <w:rPr>
                <w:caps/>
                <w:sz w:val="17"/>
              </w:rPr>
            </w:pPr>
            <w:r>
              <w:rPr>
                <w:caps/>
                <w:sz w:val="17"/>
              </w:rPr>
            </w:r>
          </w:p>
        </w:tc>
        <w:tc>
          <w:tcPr>
            <w:tcW w:w="2155"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Petrogulf Corporation</w:t>
            </w:r>
          </w:p>
        </w:tc>
        <w:tc>
          <w:tcPr>
            <w:tcW w:w="1719"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Gas Purchase Agreement</w:t>
            </w:r>
          </w:p>
        </w:tc>
        <w:tc>
          <w:tcPr>
            <w:tcW w:w="1928"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North America Corp.</w:t>
            </w:r>
          </w:p>
        </w:tc>
        <w:tc>
          <w:tcPr>
            <w:tcW w:w="927"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11/3/99</w:t>
            </w:r>
          </w:p>
        </w:tc>
        <w:tc>
          <w:tcPr>
            <w:tcW w:w="2736"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 (12/1/99) and year to year therafter with 30 days notice . Upon Termination the Gathering Services Agreement shall be in effect and controlling</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Initial Price Term (“IPT”) 3 years from WIC In-Service Date(12/1/99) and month to month thereafter until either party makes the Renegotiation Election. With 30 days notice prior to the end of the IPT or any time thereafter either party may elect to renegotiate.  If parties are unable to agree then contract shall be terminated and the Gathering Services Agreement shall be in effect and controlling</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buyer to commit to purchase and receive or cause to be received for Buyers account, seller’s daily deliverabilty of gas, provided if Seller has gas available in excess of gas confirmed for each month, seller shall the right to have buyer release such excess quantity of gas (“Released Gas”).  Any released gas shall at seller’s option be gathered under the gathering services agreement.  If buyer fails to take released gas for a period of 120 consecutive days, seller shall have the right of having the released gas permanently released from commitment hereunder and gathered under the gathering services agreement.</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3.</w:t>
            </w:r>
          </w:p>
        </w:tc>
        <w:tc>
          <w:tcPr>
            <w:tcW w:w="2155"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Ocean Energy Resources, Inc.</w:t>
            </w:r>
          </w:p>
        </w:tc>
        <w:tc>
          <w:tcPr>
            <w:tcW w:w="1719"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Gas Purchase Agreement</w:t>
            </w:r>
          </w:p>
        </w:tc>
        <w:tc>
          <w:tcPr>
            <w:tcW w:w="1928"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North America Corp.</w:t>
            </w:r>
          </w:p>
        </w:tc>
        <w:tc>
          <w:tcPr>
            <w:tcW w:w="927"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9/10/99</w:t>
            </w:r>
          </w:p>
        </w:tc>
        <w:tc>
          <w:tcPr>
            <w:tcW w:w="2736"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 xml:space="preserve">Effective thru 10/31/00.  Prior to 10/1/00 Seller may elect to terminate with 30 days notice effective 11/1/00.  In the event seller does not terminate then the contract is effective thru 10/31/01 and month to month thereafter with 30 days notice to terminate. After Termination Gas services agreement shall govern. </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No Renegotiation</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except to comply with law with respect to Notice of Gas Contract to the Gas Purchase Agreement.  </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buyer agrees to purchase and receive or cause to be received for buyers account sellers daily deliverability of gas.  should buyer be unable to purchase and receive all or any portion of Sellers gas, seller shall have the right to dispose of sellers gas not received by buyer until such time as buyer notifies seller it will receive sellers daily deliverabilty of gas it wasn’t purchasing and receiving.</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4.</w:t>
            </w:r>
          </w:p>
        </w:tc>
        <w:tc>
          <w:tcPr>
            <w:tcW w:w="2155"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Sapphire Bay, L.L.C. and Independent Production Company, Inc.</w:t>
            </w:r>
          </w:p>
        </w:tc>
        <w:tc>
          <w:tcPr>
            <w:tcW w:w="1719"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Gas Purchase Agreement</w:t>
            </w:r>
          </w:p>
        </w:tc>
        <w:tc>
          <w:tcPr>
            <w:tcW w:w="1928"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North America Corp.</w:t>
            </w:r>
          </w:p>
        </w:tc>
        <w:tc>
          <w:tcPr>
            <w:tcW w:w="927"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8/31/99</w:t>
            </w:r>
          </w:p>
        </w:tc>
        <w:tc>
          <w:tcPr>
            <w:tcW w:w="2736"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Date(12/1/99)  and month to month thereafter with 90 days notice, when Buyer BUying this agreement in effect when not Field Services agreement governs.</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Initial Price Term (“IPT”) 4 years from Fort Union Inservice Date (9/1/99) and month to month thereafter until either party makes the Renegotiation Election. With 60 days notice prior to the end of the IPT or Any Field services Term either party may elect to renegotiate.  If parties are unable to agree then Seller shall have the right to solicit 3</w:t>
            </w:r>
            <w:r>
              <w:rPr>
                <w:caps/>
                <w:sz w:val="17"/>
                <w:vertAlign w:val="superscript"/>
              </w:rPr>
              <w:t>rd</w:t>
            </w:r>
            <w:r>
              <w:rPr>
                <w:caps/>
                <w:sz w:val="17"/>
              </w:rPr>
              <w:t xml:space="preserve"> party bid for part or all of its gas.  Buyer shall have preferential right to match within 10 days notice by seller.  if parties cannot agree or buyer elects not to match then gas shall be subject to Field Services agreement for term equal to 1 year or term of third party sales contract (“Field Services Term”).</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Silent</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buyer shall commit to purchase and receive or cause to be received for buyers account sellers daily deliverabilty of gas in accordance with exhibit F.  Exhibit F lines out the compression initiatives of 9000 MCF/Day at 80 PSI SUction pressure (initial Compression).  Upon sellers deliverability utilizing 80% of Initial COmpression, buyer shall provide additional compression of not less than 18,000 MCf.  Upon sellers utilization of 80% of compression capacity, buyer to provide 9000 mcf/day increments of compression.  If buyer determines it is uneconomical to add this additional capacity, then buyer may notify seller to negotiate revised terms and conditions for expansion of compression.  If they are unable to agree the gas shall be released from the agreement and shall be governed by the field services agreement.  Seller shall have the right to market the released gas.  Upon decline of the production seller may ask to have the released gas rededicated to the agreement.</w:t>
            </w:r>
          </w:p>
        </w:tc>
      </w:tr>
      <w:tr>
        <w:trPr>
          <w:trHeight w:val="363" w:hRule="atLeast"/>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5.</w:t>
            </w:r>
          </w:p>
        </w:tc>
        <w:tc>
          <w:tcPr>
            <w:tcW w:w="2155"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Wellstar Corporation</w:t>
            </w:r>
          </w:p>
        </w:tc>
        <w:tc>
          <w:tcPr>
            <w:tcW w:w="1719"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Gas Purchase Agreement</w:t>
            </w:r>
          </w:p>
        </w:tc>
        <w:tc>
          <w:tcPr>
            <w:tcW w:w="1928"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North America Corp.</w:t>
            </w:r>
          </w:p>
        </w:tc>
        <w:tc>
          <w:tcPr>
            <w:tcW w:w="927"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10/25/99</w:t>
            </w:r>
          </w:p>
        </w:tc>
        <w:tc>
          <w:tcPr>
            <w:tcW w:w="2736"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 (12/1/99) and month to month with  90 days notice upon termination the Gathering services agreement governs</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Initial Price Term (“IPT”) 3 years from WIC In-Service Date(12/1/99) and month to month thereafter until either party makes the Renegotiation Election. With 60 days notice prior to the end of the IPT or any time thereafter either party may elect to renegotiate.  If parties are unable to agree then Seller shall have the right to solicit 3</w:t>
            </w:r>
            <w:r>
              <w:rPr>
                <w:caps/>
                <w:sz w:val="17"/>
                <w:vertAlign w:val="superscript"/>
              </w:rPr>
              <w:t>rd</w:t>
            </w:r>
            <w:r>
              <w:rPr>
                <w:caps/>
                <w:sz w:val="17"/>
              </w:rPr>
              <w:t xml:space="preserve"> party bid. if parties cannot agree or buyer elects not to match then contract shall be terminated and the Gathering Services Agreement shall be in effect and controlling</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except to comply with law with respect to Notice of Gas Contract to the Gas Purchase Agreement</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buyer to commit to purchase and receive or cause to be received for Buyers account, seller’s daily deliverabilty of gas, provided if Seller has gas available in excess of gas confirmed for each month, seller shall the right to have buyer release such excess quantity of gas (“Released Gas”).  Any released gas shall at seller’s option be gathered under the gathering services agreement.  If buyer fails to take released gas for a period of 120 consecutive days, seller shall have the right of having the released gas permanently released from commitment hereunder and gathered under the gathering services agreement.</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6.</w:t>
            </w:r>
          </w:p>
        </w:tc>
        <w:tc>
          <w:tcPr>
            <w:tcW w:w="2155"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 xml:space="preserve">Kennedy Oil </w:t>
            </w:r>
          </w:p>
        </w:tc>
        <w:tc>
          <w:tcPr>
            <w:tcW w:w="1719"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Gas Purchase Agreement</w:t>
            </w:r>
          </w:p>
        </w:tc>
        <w:tc>
          <w:tcPr>
            <w:tcW w:w="1928"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North America Corp.</w:t>
            </w:r>
          </w:p>
        </w:tc>
        <w:tc>
          <w:tcPr>
            <w:tcW w:w="927"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8/27/99</w:t>
            </w:r>
          </w:p>
        </w:tc>
        <w:tc>
          <w:tcPr>
            <w:tcW w:w="2736"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 (12/1/99)  and Month to month thereafter with 30 days notice upon termination the Gathering services agreement governs</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Initial Price Term (“IPT”) 2 years from WIC In-Service Date(12/1/99) and month to month thereafter until either party makes the Renegotiation Election. With 30 days notice prior to the end of the IPT or any time thereafter either party may elect to renegotiate.  If parties are unable to agree then Seller shall have the right to solicit 3</w:t>
            </w:r>
            <w:r>
              <w:rPr>
                <w:caps/>
                <w:sz w:val="17"/>
                <w:vertAlign w:val="superscript"/>
              </w:rPr>
              <w:t>rd</w:t>
            </w:r>
            <w:r>
              <w:rPr>
                <w:caps/>
                <w:sz w:val="17"/>
              </w:rPr>
              <w:t xml:space="preserve"> party bid. if parties cannot agree or buyer elects not to match then contract shall be terminated and the Gathering Services Agreement shall be in effect and controlling</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except to comply with law with respect to Notice of Gas Contract to the Gas Purchase Agreement</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buyer to commit to purchase and receive or cause to be received for Buyers account, seller’s daily deliverabilty of gas, provided if Seller has gas available in excess of gas confirmed for each month, seller shall the right to have buyer release such excess quantity of gas (“Released Gas”).  Any released gas shall at seller’s option be gathered under the gathering services agreement.  If buyer fails to take released gas for a period of 120 consecutive days, seller shall have the right of  (i) having the released gas permanently released from commitment hereunder and gathered under the gathering services agreement and having the field services fee reduced by $0.02 or (ii) having the gas permenantly released hereunder and under the field services agreement.</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7.</w:t>
            </w:r>
          </w:p>
        </w:tc>
        <w:tc>
          <w:tcPr>
            <w:tcW w:w="2155"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Coleman Oil &amp; Gas, Inc.</w:t>
            </w:r>
          </w:p>
        </w:tc>
        <w:tc>
          <w:tcPr>
            <w:tcW w:w="1719"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Gas Purchase Agreement</w:t>
            </w:r>
          </w:p>
        </w:tc>
        <w:tc>
          <w:tcPr>
            <w:tcW w:w="1928"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North America Corp.</w:t>
            </w:r>
          </w:p>
        </w:tc>
        <w:tc>
          <w:tcPr>
            <w:tcW w:w="927"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2/1/2000</w:t>
            </w:r>
          </w:p>
        </w:tc>
        <w:tc>
          <w:tcPr>
            <w:tcW w:w="2736"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Ten years from the effective date (2/1/00) and month to month  thereafter with 30 days notice. upon termination the Gathering services agreement governs</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Initial Price Term (“IPT”) from effective date (2/1/00) thru 11-30-01 and month to month thereafter until either party makes the Renegotiation Election. With 60 days notice prior to the end of the IPT or any time thereafter either party may elect to renegotiate.  If parties are unable to agree then Seller shall have the right to solicit 3</w:t>
            </w:r>
            <w:r>
              <w:rPr>
                <w:caps/>
                <w:sz w:val="17"/>
                <w:vertAlign w:val="superscript"/>
              </w:rPr>
              <w:t>rd</w:t>
            </w:r>
            <w:r>
              <w:rPr>
                <w:caps/>
                <w:sz w:val="17"/>
              </w:rPr>
              <w:t xml:space="preserve"> party bid. if parties cannot agree or buyer elects not to match then contract shall be terminated and the Gathering Services Agreement shall be in effect and controlling</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except to comply with law with respect to Notice of Gas Contract to the Gas Purchase Agreement</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buyer to commit to purchase and receive or cause to be received for Buyers account, seller’s daily deliverabilty of gas, provided if Seller has gas available in excess of gas confirmed for each month, seller shall the right to have buyer release such excess quantity of gas (“Released Gas”).  Any released gas shall at seller’s option be gathered under the gathering services agreement.  If buyer fails to take released gas for a period of 120 consecutive days, seller shall have the right of having the released gas permanently released from commitment hereunder and gathered under the gathering services agreement.</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8.</w:t>
            </w:r>
          </w:p>
        </w:tc>
        <w:tc>
          <w:tcPr>
            <w:tcW w:w="2155"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Yates Petroleum Corporation</w:t>
            </w:r>
          </w:p>
        </w:tc>
        <w:tc>
          <w:tcPr>
            <w:tcW w:w="1719"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Gas Purchase Agreement</w:t>
            </w:r>
          </w:p>
        </w:tc>
        <w:tc>
          <w:tcPr>
            <w:tcW w:w="1928"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North America Corp.</w:t>
            </w:r>
          </w:p>
        </w:tc>
        <w:tc>
          <w:tcPr>
            <w:tcW w:w="927"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12/1/99</w:t>
            </w:r>
          </w:p>
        </w:tc>
        <w:tc>
          <w:tcPr>
            <w:tcW w:w="2736"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10 years from WIC In-Service Date 12/1/99 and Month to month thereafter with 30 days notice. upon termination the Gathering services agreement governs</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Initial Price Term (“IPT”) 1 year from WIC In-Service Date(12/1/99) and month to month thereafter until either party makes the Renegotiation Election. With 60 days notice prior to the end of the IPT or any time thereafter either party may elect to renegotiate.  If parties are unable to agree then contract shall be terminated and the Gathering Services Agreement shall be in effect and controlling</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except to comply with law with respect to Notice of Gas Contract to the Gas Purchase Agreement</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buyer to commit to purchase and receive or cause to be received for Buyers account, seller’s daily deliverabilty of gas, provided if Seller has gas available in excess of gas confirmed for each month, seller shall the right to have buyer release such excess quantity of gas (“Released Gas”).  Any released gas shall at seller’s option be gathered under the gathering services agreement.  If buyer fails to take released gas for a period of 120 consecutive days, seller shall have the right of having the released gas permanently released from commitment hereunder and gathered under the gathering services agreement.</w:t>
            </w:r>
          </w:p>
        </w:tc>
      </w:tr>
      <w:tr>
        <w:trPr/>
        <w:tc>
          <w:tcPr>
            <w:tcW w:w="408" w:type="dxa"/>
            <w:tcBorders>
              <w:top w:val="single" w:sz="6" w:space="0" w:color="000000"/>
              <w:start w:val="single" w:sz="12" w:space="0" w:color="000000"/>
              <w:bottom w:val="single" w:sz="6" w:space="0" w:color="000000"/>
              <w:end w:val="single" w:sz="6" w:space="0" w:color="000000"/>
            </w:tcBorders>
          </w:tcPr>
          <w:p>
            <w:pPr>
              <w:pStyle w:val="Normal"/>
              <w:rPr>
                <w:caps/>
                <w:sz w:val="17"/>
              </w:rPr>
            </w:pPr>
            <w:r>
              <w:rPr>
                <w:caps/>
                <w:sz w:val="17"/>
              </w:rPr>
              <w:t>9.</w:t>
            </w:r>
          </w:p>
        </w:tc>
        <w:tc>
          <w:tcPr>
            <w:tcW w:w="2155" w:type="dxa"/>
            <w:tcBorders>
              <w:top w:val="single" w:sz="6" w:space="0" w:color="000000"/>
              <w:start w:val="single" w:sz="6" w:space="0" w:color="000000"/>
              <w:bottom w:val="single" w:sz="6" w:space="0" w:color="000000"/>
              <w:end w:val="single" w:sz="6" w:space="0" w:color="000000"/>
            </w:tcBorders>
          </w:tcPr>
          <w:p>
            <w:pPr>
              <w:pStyle w:val="Normal"/>
              <w:rPr/>
            </w:pPr>
            <w:r>
              <w:rPr>
                <w:rStyle w:val="CommentReference"/>
                <w:sz w:val="17"/>
              </w:rPr>
              <w:t>Quantum Energy, L.L.C. and Enernet of Wyoming, L.L.C.</w:t>
            </w:r>
          </w:p>
        </w:tc>
        <w:tc>
          <w:tcPr>
            <w:tcW w:w="1719"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Gas Purchase Agreement</w:t>
            </w:r>
          </w:p>
        </w:tc>
        <w:tc>
          <w:tcPr>
            <w:tcW w:w="1928" w:type="dxa"/>
            <w:tcBorders>
              <w:top w:val="single" w:sz="6" w:space="0" w:color="000000"/>
              <w:start w:val="single" w:sz="6" w:space="0" w:color="000000"/>
              <w:bottom w:val="single" w:sz="6" w:space="0" w:color="000000"/>
              <w:end w:val="single" w:sz="6" w:space="0" w:color="000000"/>
            </w:tcBorders>
          </w:tcPr>
          <w:p>
            <w:pPr>
              <w:pStyle w:val="Normal"/>
              <w:jc w:val="center"/>
              <w:rPr>
                <w:caps/>
                <w:sz w:val="17"/>
              </w:rPr>
            </w:pPr>
            <w:r>
              <w:rPr>
                <w:caps/>
                <w:sz w:val="17"/>
              </w:rPr>
              <w:t>Enron  North America Corp.</w:t>
            </w:r>
          </w:p>
        </w:tc>
        <w:tc>
          <w:tcPr>
            <w:tcW w:w="927"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3/1/2000</w:t>
            </w:r>
          </w:p>
        </w:tc>
        <w:tc>
          <w:tcPr>
            <w:tcW w:w="2736"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Ten years from the effective date (3/1/00) and year to year thereafter with 90 days notice. upon termination the Gathering services agreement governs</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Initial Price Term (“IPT”) from effective date (3/1/00) thru 12/01/01 and month to month thereafter until either party makes the Renegotiation Election. With 60 days notice prior to the end of the IPT or any time thereafter either party may elect to renegotiate.  If parties are unable to agree then Seller shall have the right to solicit 3</w:t>
            </w:r>
            <w:r>
              <w:rPr>
                <w:caps/>
                <w:sz w:val="17"/>
                <w:vertAlign w:val="superscript"/>
              </w:rPr>
              <w:t>rd</w:t>
            </w:r>
            <w:r>
              <w:rPr>
                <w:caps/>
                <w:sz w:val="17"/>
              </w:rPr>
              <w:t xml:space="preserve"> party bid. if parties cannot agree or buyer elects not to match then contract shall be terminated and the Gathering Services Agreement shall be in effect and controlling</w:t>
            </w:r>
          </w:p>
        </w:tc>
        <w:tc>
          <w:tcPr>
            <w:tcW w:w="2955" w:type="dxa"/>
            <w:tcBorders>
              <w:top w:val="single" w:sz="6" w:space="0" w:color="000000"/>
              <w:start w:val="single" w:sz="6" w:space="0" w:color="000000"/>
              <w:bottom w:val="single" w:sz="6" w:space="0" w:color="000000"/>
              <w:end w:val="single" w:sz="6" w:space="0" w:color="000000"/>
            </w:tcBorders>
          </w:tcPr>
          <w:p>
            <w:pPr>
              <w:pStyle w:val="Normal"/>
              <w:rPr/>
            </w:pPr>
            <w:r>
              <w:rPr>
                <w:caps/>
                <w:sz w:val="17"/>
              </w:rPr>
              <w:t>Parties will not disclose any provision to any 3</w:t>
            </w:r>
            <w:r>
              <w:rPr>
                <w:caps/>
                <w:sz w:val="17"/>
                <w:vertAlign w:val="superscript"/>
              </w:rPr>
              <w:t>rd</w:t>
            </w:r>
            <w:r>
              <w:rPr>
                <w:caps/>
                <w:sz w:val="17"/>
              </w:rPr>
              <w:t xml:space="preserve"> Party (other than the Party’s and its affiliates employees, lenders, counsel, accountants or prospective purchasers of any rights hereunder who have agreed to keep such terms confidential) except to comply with law with respect to Notice of Gas Contract to the Gas Purchase Agreement</w:t>
            </w:r>
          </w:p>
        </w:tc>
        <w:tc>
          <w:tcPr>
            <w:tcW w:w="2955" w:type="dxa"/>
            <w:tcBorders>
              <w:top w:val="single" w:sz="6" w:space="0" w:color="000000"/>
              <w:start w:val="single" w:sz="6" w:space="0" w:color="000000"/>
              <w:bottom w:val="single" w:sz="6" w:space="0" w:color="000000"/>
              <w:end w:val="single" w:sz="6" w:space="0" w:color="000000"/>
            </w:tcBorders>
          </w:tcPr>
          <w:p>
            <w:pPr>
              <w:pStyle w:val="Normal"/>
              <w:rPr>
                <w:caps/>
                <w:sz w:val="17"/>
              </w:rPr>
            </w:pPr>
            <w:r>
              <w:rPr>
                <w:caps/>
                <w:sz w:val="17"/>
              </w:rPr>
              <w:t>buyer to commit to purchase and receive or cause to be received for Buyers account, seller’s daily deliverabilty of gas, provided if Seller has gas available in excess of gas confirmed for each month, seller shall the right to have buyer release such excess quantity of gas (“Released Gas”).  Any released gas shall at seller’s option be gathered under the gathering services agreement.  If buyer fails to take released gas for a period of 120 consecutive days, seller shall have the right of having the released gas permanently released from commitment hereunder and gathered under the gathering services agreement.</w:t>
            </w:r>
          </w:p>
        </w:tc>
      </w:tr>
    </w:tbl>
    <w:p>
      <w:pPr>
        <w:pStyle w:val="Normal"/>
        <w:rPr>
          <w:sz w:val="17"/>
        </w:rPr>
      </w:pPr>
      <w:r>
        <w:rPr>
          <w:sz w:val="17"/>
        </w:rPr>
      </w:r>
      <w:r>
        <w:br w:type="page"/>
      </w:r>
    </w:p>
    <w:p>
      <w:pPr>
        <w:pStyle w:val="Normal"/>
        <w:rPr>
          <w:sz w:val="17"/>
        </w:rPr>
      </w:pPr>
      <w:r>
        <w:rPr>
          <w:sz w:val="17"/>
        </w:rPr>
      </w:r>
    </w:p>
    <w:sectPr>
      <w:headerReference w:type="default" r:id="rId2"/>
      <w:headerReference w:type="first" r:id="rId3"/>
      <w:footerReference w:type="default" r:id="rId4"/>
      <w:footerReference w:type="first" r:id="rId5"/>
      <w:type w:val="nextPage"/>
      <w:pgSz w:orient="landscape" w:w="20160" w:h="122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6920" w:leader="none"/>
      </w:tabs>
      <w:rPr/>
    </w:pPr>
    <w:r>
      <w:rPr>
        <w:sz w:val="14"/>
      </w:rPr>
      <w:t>COMMON\LEGAL\BWALKER\</w:t>
    </w:r>
    <w:r>
      <w:rPr>
        <w:sz w:val="14"/>
      </w:rPr>
      <w:fldChar w:fldCharType="begin"/>
    </w:r>
    <w:r>
      <w:rPr>
        <w:sz w:val="14"/>
      </w:rPr>
      <w:instrText xml:space="preserve"> FILENAME </w:instrText>
    </w:r>
    <w:r>
      <w:rPr>
        <w:sz w:val="14"/>
      </w:rPr>
      <w:fldChar w:fldCharType="separate"/>
    </w:r>
    <w:r>
      <w:rPr>
        <w:sz w:val="14"/>
      </w:rPr>
      <w:t>Purchasereview.doc</w:t>
    </w:r>
    <w:r>
      <w:rPr>
        <w:sz w:val="14"/>
      </w:rPr>
      <w:fldChar w:fldCharType="end"/>
    </w:r>
    <w:r>
      <w:rPr>
        <w:sz w:val="14"/>
      </w:rPr>
      <w:tab/>
    </w:r>
    <w:r>
      <w:rPr>
        <w:sz w:val="14"/>
      </w:rPr>
      <w:fldChar w:fldCharType="begin"/>
    </w:r>
    <w:r>
      <w:rPr>
        <w:sz w:val="14"/>
      </w:rPr>
      <w:instrText xml:space="preserve"> DATE \@"M/d/yyyy" </w:instrText>
    </w:r>
    <w:r>
      <w:rPr>
        <w:sz w:val="14"/>
      </w:rPr>
      <w:fldChar w:fldCharType="separate"/>
    </w:r>
    <w:r>
      <w:rPr>
        <w:sz w:val="14"/>
      </w:rPr>
      <w:t>9/28/2025</w:t>
    </w:r>
    <w:r>
      <w:rPr>
        <w:sz w:val="14"/>
      </w:rPr>
      <w:fldChar w:fldCharType="end"/>
    </w:r>
    <w:r>
      <w:rPr>
        <w:sz w:val="14"/>
      </w:rPr>
      <w:tab/>
      <w:t xml:space="preserve">Page </w:t>
    </w:r>
    <w:r>
      <w:rPr>
        <w:sz w:val="14"/>
      </w:rPr>
      <w:fldChar w:fldCharType="begin"/>
    </w:r>
    <w:r>
      <w:rPr>
        <w:sz w:val="14"/>
      </w:rPr>
      <w:instrText xml:space="preserve"> PAGE </w:instrText>
    </w:r>
    <w:r>
      <w:rPr>
        <w:sz w:val="14"/>
      </w:rPr>
      <w:fldChar w:fldCharType="separate"/>
    </w:r>
    <w:r>
      <w:rPr>
        <w:sz w:val="14"/>
      </w:rPr>
      <w:t>6</w:t>
    </w:r>
    <w:r>
      <w:rPr>
        <w:sz w:val="14"/>
      </w:rPr>
      <w:fldChar w:fldCharType="end"/>
    </w:r>
    <w:r>
      <w:rPr>
        <w:sz w:val="14"/>
      </w:rPr>
      <w:t xml:space="preserve"> of </w:t>
    </w:r>
    <w:r>
      <w:rPr>
        <w:sz w:val="14"/>
      </w:rPr>
      <w:fldChar w:fldCharType="begin"/>
    </w:r>
    <w:r>
      <w:rPr>
        <w:sz w:val="14"/>
      </w:rPr>
      <w:instrText xml:space="preserve"> NUMPAGES \* ARABIC </w:instrText>
    </w:r>
    <w:r>
      <w:rPr>
        <w:sz w:val="14"/>
      </w:rPr>
      <w:fldChar w:fldCharType="separate"/>
    </w:r>
    <w:r>
      <w:rPr>
        <w:sz w:val="14"/>
      </w:rPr>
      <w:t>6</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520" w:leader="none"/>
      </w:tabs>
      <w:jc w:val="center"/>
      <w:rPr>
        <w:rFonts w:ascii="Arial" w:hAnsi="Arial" w:cs="Arial"/>
        <w:caps/>
        <w:sz w:val="12"/>
      </w:rPr>
    </w:pPr>
    <w:r>
      <w:rPr>
        <w:rFonts w:cs="Arial" w:ascii="Arial" w:hAnsi="Arial"/>
        <w:b/>
        <w:caps/>
        <w:sz w:val="12"/>
      </w:rPr>
      <w:t>Gas Purchase Agreements</w:t>
    </w:r>
  </w:p>
  <w:p>
    <w:pPr>
      <w:pStyle w:val="Header"/>
      <w:jc w:val="center"/>
      <w:rPr>
        <w:rFonts w:ascii="Arial" w:hAnsi="Arial" w:cs="Arial"/>
        <w:caps/>
        <w:sz w:val="12"/>
      </w:rPr>
    </w:pPr>
    <w:r>
      <w:rPr>
        <w:rFonts w:cs="Arial" w:ascii="Arial" w:hAnsi="Arial"/>
        <w:caps/>
        <w:sz w:val="1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val="false"/>
      <w:bidi w:val="0"/>
    </w:pPr>
    <w:rPr>
      <w:rFonts w:ascii="CG Times (WN)" w:hAnsi="CG Times (WN)" w:eastAsia="Times New Roman" w:cs="CG Times (WN)"/>
      <w:color w:val="auto"/>
      <w:sz w:val="20"/>
      <w:szCs w:val="20"/>
      <w:lang w:val="en-US" w:bidi="ar-SA" w:eastAsia="zh-CN"/>
    </w:rPr>
  </w:style>
  <w:style w:type="paragraph" w:styleId="f">
    <w:name w:val="f"/>
    <w:qFormat/>
    <w:pPr>
      <w:widowControl w:val="false"/>
      <w:bidi w:val="0"/>
    </w:pPr>
    <w:rPr>
      <w:rFonts w:ascii="CG Times (WN)" w:hAnsi="CG Times (WN)" w:eastAsia="Times New Roman" w:cs="CG Times (WN)"/>
      <w:color w:val="auto"/>
      <w:sz w:val="20"/>
      <w:szCs w:val="20"/>
      <w:lang w:val="en-US" w:bidi="ar-SA" w:eastAsia="zh-CN"/>
    </w:rPr>
  </w:style>
  <w:style w:type="paragraph" w:styleId="para">
    <w:name w:val="para"/>
    <w:qFormat/>
    <w:pPr>
      <w:widowControl w:val="false"/>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val="false"/>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2000-06-28T18:57:00Z</dcterms:created>
  <dc:creator>tbarth</dc:creator>
  <dc:description/>
  <dc:language>en-CA</dc:language>
  <cp:lastModifiedBy>rwalker</cp:lastModifiedBy>
  <cp:lastPrinted>2000-08-30T11:14:00Z</cp:lastPrinted>
  <dcterms:modified xsi:type="dcterms:W3CDTF">2000-08-30T14:16:00Z</dcterms:modified>
  <cp:revision>9</cp:revision>
  <dc:subject/>
  <dc:title>HPL Contract list</dc:title>
</cp:coreProperties>
</file>