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pPr>
      <w:r>
        <w:rPr/>
        <w:t>TO GAS PURCHASE AGREEMENT</w:t>
      </w:r>
    </w:p>
    <w:p>
      <w:pPr>
        <w:pStyle w:val="Heading"/>
        <w:widowControl/>
        <w:rPr>
          <w:b w:val="false"/>
        </w:rPr>
      </w:pPr>
      <w:r>
        <w:rPr/>
        <w:t>(RESERVES COMMITTED/INDEX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formerly Enron Capital &amp; Trade Resources Corp. ("</w:t>
      </w:r>
      <w:r>
        <w:rPr>
          <w:u w:val="single"/>
        </w:rPr>
        <w:t>Buyer</w:t>
      </w:r>
      <w:r>
        <w:rPr/>
        <w:t>") have entered into that certain Gas Purchase Agreement (Reserves Committed/Index Pricing (the "</w:t>
      </w:r>
      <w:r>
        <w:rPr>
          <w:u w:val="single"/>
        </w:rPr>
        <w:t>Agreement</w:t>
      </w:r>
      <w:r>
        <w:rPr/>
        <w:t>") dated August 27, 1999, governing Gatherer's purchase of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December ____, 1999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Appendix "1" - "General Provisions" of the Agreement is hereby amended by deleting the definition of Gathering Services Fee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Gathering Services Fee</w:t>
      </w:r>
      <w:r>
        <w:rPr/>
        <w:t>" shall have the meaning set forth in Article 4 of the Gathering Services Agreement.</w:t>
      </w:r>
    </w:p>
    <w:p>
      <w:pPr>
        <w:pStyle w:val="Normal"/>
        <w:widowControl/>
        <w:ind w:hanging="630" w:start="630" w:end="0"/>
        <w:rPr/>
      </w:pPr>
      <w:r>
        <w:rPr/>
      </w:r>
    </w:p>
    <w:p>
      <w:pPr>
        <w:pStyle w:val="Normal"/>
        <w:widowControl/>
        <w:ind w:hanging="630" w:start="630" w:end="0"/>
        <w:rPr/>
      </w:pPr>
      <w:r>
        <w:rPr/>
        <w:t>2.</w:t>
        <w:tab/>
        <w:t>Appendix "1" - "General Provisions" of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means 66,000 MMBtu of Gas a Day."</w:t>
      </w:r>
    </w:p>
    <w:p>
      <w:pPr>
        <w:pStyle w:val="Normal"/>
        <w:widowControl/>
        <w:ind w:hanging="630" w:start="630" w:end="0"/>
        <w:rPr/>
      </w:pPr>
      <w:r>
        <w:rPr/>
      </w:r>
    </w:p>
    <w:p>
      <w:pPr>
        <w:pStyle w:val="Normal"/>
        <w:widowControl/>
        <w:ind w:hanging="630" w:start="630" w:end="0"/>
        <w:rPr/>
      </w:pPr>
      <w:r>
        <w:rPr/>
        <w:t>3.</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4.</w:t>
        <w:tab/>
        <w:t>Exhibit "B"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5.</w:t>
        <w:tab/>
        <w:t>Exhibit "C" of the Agreement is hereby amended and restated by deleting it in its entirety and replacing it with Schedule III, attached hereto.</w:t>
      </w:r>
    </w:p>
    <w:p>
      <w:pPr>
        <w:pStyle w:val="Normal"/>
        <w:widowControl/>
        <w:ind w:hanging="630" w:start="630" w:end="0"/>
        <w:rPr/>
      </w:pPr>
      <w:r>
        <w:rPr/>
      </w:r>
    </w:p>
    <w:p>
      <w:pPr>
        <w:pStyle w:val="BodyTextIndent"/>
        <w:widowControl/>
        <w:ind w:hanging="630" w:start="630" w:end="0"/>
        <w:rPr/>
      </w:pPr>
      <w:r>
        <w:rPr/>
        <w:t>6.</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smallCaps/>
        </w:rPr>
      </w:pPr>
      <w:r>
        <w:rPr>
          <w:smallCaps/>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COMMITTED RESERVES</w:t>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SUBJECT LEASES</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Normal"/>
        <w:spacing w:before="120" w:after="0"/>
        <w:jc w:val="center"/>
        <w:rPr>
          <w:b/>
          <w:smallCaps/>
        </w:rPr>
      </w:pPr>
      <w:r>
        <w:rPr>
          <w:b/>
          <w:smallCaps/>
        </w:rPr>
        <w:t>DELIVERY POINTS</w:t>
      </w:r>
    </w:p>
    <w:p>
      <w:pPr>
        <w:pStyle w:val="Normal"/>
        <w:spacing w:before="120" w:after="0"/>
        <w:jc w:val="center"/>
        <w:rPr>
          <w:b/>
          <w:smallCaps/>
        </w:rPr>
      </w:pPr>
      <w:r>
        <w:rPr>
          <w:b/>
          <w:smallCaps/>
        </w:rPr>
      </w:r>
    </w:p>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1999-12-21T17:18:00Z</dcterms:created>
  <dc:creator>gnemec</dc:creator>
  <dc:description/>
  <dc:language>en-CA</dc:language>
  <cp:lastModifiedBy>gnemec</cp:lastModifiedBy>
  <cp:lastPrinted>1999-12-21T14:47:00Z</cp:lastPrinted>
  <dcterms:modified xsi:type="dcterms:W3CDTF">1999-12-22T15:29:00Z</dcterms:modified>
  <cp:revision>17</cp:revision>
  <dc:subject/>
  <dc:title>AMENDMENT</dc:title>
</cp:coreProperties>
</file>