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before="0" w:after="0"/>
        <w:rPr>
          <w:b/>
        </w:rPr>
      </w:pPr>
      <w:r>
        <w:rPr>
          <w:b/>
        </w:rPr>
      </w:r>
    </w:p>
    <w:p>
      <w:pPr>
        <w:pStyle w:val="BodyText"/>
        <w:spacing w:before="0" w:after="0"/>
        <w:jc w:val="center"/>
        <w:rPr>
          <w:b/>
        </w:rPr>
      </w:pPr>
      <w:r>
        <w:rPr>
          <w:b/>
        </w:rPr>
      </w:r>
    </w:p>
    <w:p>
      <w:pPr>
        <w:pStyle w:val="BodyText"/>
        <w:spacing w:before="0" w:after="0"/>
        <w:jc w:val="center"/>
        <w:rPr/>
      </w:pPr>
      <w:r>
        <w:rPr/>
      </w:r>
    </w:p>
    <w:p>
      <w:pPr>
        <w:pStyle w:val="BodyText"/>
        <w:spacing w:before="0" w:after="0"/>
        <w:jc w:val="center"/>
        <w:rPr/>
      </w:pPr>
      <w:r>
        <w:rPr/>
      </w:r>
    </w:p>
    <w:p>
      <w:pPr>
        <w:pStyle w:val="BodyText"/>
        <w:spacing w:before="0" w:after="0"/>
        <w:jc w:val="center"/>
        <w:rPr/>
      </w:pPr>
      <w:r>
        <w:rPr/>
        <w:br/>
        <w:t>ENRON PASS-THROUGH ASSET TRUST 2000-1</w:t>
        <w:br/>
      </w:r>
    </w:p>
    <w:p>
      <w:pPr>
        <w:pStyle w:val="BodyText"/>
        <w:spacing w:before="0" w:after="0"/>
        <w:jc w:val="center"/>
        <w:rPr/>
      </w:pPr>
      <w:r>
        <w:rPr/>
        <w:t>$[350,000,000]</w:t>
      </w:r>
    </w:p>
    <w:p>
      <w:pPr>
        <w:pStyle w:val="BodyText"/>
        <w:spacing w:before="0" w:after="0"/>
        <w:jc w:val="center"/>
        <w:rPr/>
      </w:pPr>
      <w:r>
        <w:rPr/>
      </w:r>
    </w:p>
    <w:p>
      <w:pPr>
        <w:pStyle w:val="BodyText"/>
        <w:spacing w:before="0" w:after="0"/>
        <w:jc w:val="center"/>
        <w:rPr/>
      </w:pPr>
      <w:r>
        <w:rPr/>
        <w:t>___% Pass-Through Asset Trust Securities (“PATS</w:t>
      </w:r>
      <w:r>
        <w:rPr>
          <w:sz w:val="16"/>
          <w:vertAlign w:val="superscript"/>
        </w:rPr>
        <w:t>SM</w:t>
      </w:r>
      <w:r>
        <w:rPr/>
        <w:t>”) Due June 30, 2003</w:t>
      </w:r>
    </w:p>
    <w:p>
      <w:pPr>
        <w:pStyle w:val="BodyText"/>
        <w:spacing w:before="0" w:after="0"/>
        <w:jc w:val="center"/>
        <w:rPr/>
      </w:pPr>
      <w:r>
        <w:rPr/>
      </w:r>
    </w:p>
    <w:p>
      <w:pPr>
        <w:pStyle w:val="BodyText"/>
        <w:spacing w:before="0" w:after="0"/>
        <w:jc w:val="center"/>
        <w:rPr>
          <w:u w:val="single"/>
        </w:rPr>
      </w:pPr>
      <w:r>
        <w:rPr>
          <w:u w:val="single"/>
        </w:rPr>
        <w:t>PURCHASE AGREEMENT</w:t>
      </w:r>
    </w:p>
    <w:p>
      <w:pPr>
        <w:pStyle w:val="BodyText"/>
        <w:spacing w:before="0" w:after="0"/>
        <w:jc w:val="center"/>
        <w:rPr>
          <w:u w:val="single"/>
        </w:rPr>
      </w:pPr>
      <w:r>
        <w:rPr>
          <w:u w:val="single"/>
        </w:rPr>
      </w:r>
    </w:p>
    <w:p>
      <w:pPr>
        <w:pStyle w:val="BodyText"/>
        <w:spacing w:before="0" w:after="0"/>
        <w:jc w:val="center"/>
        <w:rPr/>
      </w:pPr>
      <w:r>
        <w:rPr/>
        <w:t>June __, 2000</w:t>
      </w:r>
    </w:p>
    <w:p>
      <w:pPr>
        <w:pStyle w:val="Normal"/>
        <w:rPr/>
      </w:pPr>
      <w:r>
        <w:rPr/>
      </w:r>
    </w:p>
    <w:p>
      <w:pPr>
        <w:pStyle w:val="Normal"/>
        <w:rPr/>
      </w:pPr>
      <w:r>
        <w:rPr/>
      </w:r>
    </w:p>
    <w:p>
      <w:pPr>
        <w:pStyle w:val="Normal"/>
        <w:rPr/>
      </w:pPr>
      <w:r>
        <w:rPr/>
        <w:t>UBS Warburg LLC</w:t>
      </w:r>
    </w:p>
    <w:p>
      <w:pPr>
        <w:pStyle w:val="Normal"/>
        <w:rPr/>
      </w:pPr>
      <w:r>
        <w:rPr/>
        <w:t>677 Washington Boulevard</w:t>
        <w:br/>
        <w:t>Stamford, Connecticut 06971</w:t>
      </w:r>
    </w:p>
    <w:p>
      <w:pPr>
        <w:pStyle w:val="Normal"/>
        <w:rPr/>
      </w:pPr>
      <w:r>
        <w:rPr/>
      </w:r>
    </w:p>
    <w:p>
      <w:pPr>
        <w:pStyle w:val="BodyText"/>
        <w:spacing w:before="0" w:after="120"/>
        <w:rPr/>
      </w:pPr>
      <w:r>
        <w:rPr/>
        <w:t>Ladies and Gentlemen:</w:t>
      </w:r>
    </w:p>
    <w:p>
      <w:pPr>
        <w:pStyle w:val="BodyTextFirstIndent"/>
        <w:spacing w:before="0" w:after="120"/>
        <w:rPr/>
      </w:pPr>
      <w:r>
        <w:rPr/>
        <w:t xml:space="preserve">The Bank of New York, as Trustee (the “Pass-Through Trustee”) of the Enron Pass-Through Asset Trust 2000-1 (the “Trust”), a trust created under a Trust Agreement dated as of June 1, 2000 between Enron Corp., an Oregon corporation (the “Company”), and the Pass-Through Trustee (the “Trust Agreement”), confirms its agreement with you (the “Initial Purchaser”) to issue and sell to the Initial Purchaser, on the basis of the representations and warranties herein contained, and subject to the terms and conditions herein set forth, $[350,000,000] principal amount of ___% Pass-Through Asset Trust Securities Due June 30, 2003 (collectively, the “Certificates”). In addition, the Company confirms its agreement with the Trust to issue and sell to the Trust, on the terms set forth herein, £_____ principal amount of the Company’s Reset Senior Notes Due June 30, 2028 (the “Notes” and, together with the Certificates, the “Securities”) to be issued by the Company pursuant to an Indenture dated as of November 1, 1985 between the Company (formerly InterNorth, Inc.) and The Bank of New York (successor to Harris Trust and Savings Bank), as trustee (the “Indenture Trustee”), as heretofore supplemented and amended and to be supplemented and amended by the Fifth Supplemental Indenture dated as of June 1, 2000 thereto (as so supplemented and amended, the “Indenture”). </w:t>
      </w:r>
    </w:p>
    <w:p>
      <w:pPr>
        <w:pStyle w:val="BodyTextFirstIndent"/>
        <w:spacing w:before="0" w:after="120"/>
        <w:rPr/>
      </w:pPr>
      <w:r>
        <w:rPr/>
        <w:t xml:space="preserve">Prior to the issue and sale of the Notes to the Trust, the Trust will enter into an ISDA Master Agreement dated as of June 1, 2000 with UBS AG, London Branch (the “Bank”), including the schedule attached thereto (the “Trust Master Agreement”), pursuant to which the Trust will enter into (a) a letter agreement dated June __, 2000 with the Bank (the “Swap Counterparty”), which constitutes a confirmation as referred to in, and supplements, forms a part of and is subject to, the Trust Master Agreement (the “Trust Currency Swap”), providing, among other things, for certain payments between the Swap Counterparty and the Trust of pounds sterling and United States dollars and (b) a letter agreement dated June __, 2000 with the Bank (the “Callholder”), which constitutes a confirmation as referred to in, and supplements, forms a part of and is subject to, the Trust Master Agreement (the “Trust Call Option” and, together with the Trust Currency Swap, the “Trust Swap and Option Contracts”), providing, among other things, for the grant to the Callholder of an option to purchase the Notes. </w:t>
      </w:r>
    </w:p>
    <w:p>
      <w:pPr>
        <w:pStyle w:val="BodyTextFirstIndent"/>
        <w:spacing w:before="0" w:after="120"/>
        <w:rPr/>
      </w:pPr>
      <w:r>
        <w:rPr/>
        <w:t>As provided in the Trust Agreement, each of the Certificates will represent an undivided beneficial interest in the assets of the Trust, which assets will consist of the Notes and the rights of the Trust under the Trust Swap and Option Contracts. Pursuant to a Remarketing Agreement dated as of June 1, 2000 between you, as remarketing agent, and the Company (the “Remarketing Agreement”), the Notes may be remarketed by such remarketing agent on the date of the final distribution on the Certificates if the Notes are purchased by the Callholder from the Trust pursuant to the Trust Call Option.</w:t>
      </w:r>
    </w:p>
    <w:p>
      <w:pPr>
        <w:pStyle w:val="Normal"/>
        <w:spacing w:before="0" w:after="120"/>
        <w:jc w:val="both"/>
        <w:rPr/>
      </w:pPr>
      <w:r>
        <w:rPr/>
        <w:tab/>
        <w:t>In addition, the Bank (as successor to Swiss Bank Corporation) and the Company are parties to an ISDA Master Agreement dated as of December 9, 1997, including the schedule attached thereto (the “Company Master Agreement”), pursuant to which, and in connection with the transactions contemplated by the Trust Swap and Option Contracts, the Bank and the Company will enter into (a) a letter agreement dated June ___, 2000, which constitutes a confirmation as referred to in, and supplements, forms a part of and is subject to, the Company Master Agreement (the “Contingent Currency Swap”), providing, among other things, for certain payments between the Bank and the Company of pounds sterling and United States dollars, (b) a letter agreement dated June ___, 2000, which constitutes a confirmation as referred to in, and supplements, forms a part of and is subject to, the Company Master Agreement (the “Company  Call Option”), providing, among other things, for the grant to the Company of an option to purchase the Notes and (c) a letter agreement dated June __, 2000, which constitutes a confirmation as referred to in, and supplements, forms a part of and is subject to, the Company Master Agreement (the “Company Currency Swap” and, together with the Contingent Currency Swap and the Company  Call Option, the “Company Swap and Option Contracts” and, together with the Trust Swap and Option Contracts, the “Swap and Option Contracts”), providing, among other things, for certain payments between the Bank and the Company of pounds sterling and United States dollars.</w:t>
      </w:r>
    </w:p>
    <w:p>
      <w:pPr>
        <w:pStyle w:val="BodyTextFirstIndent"/>
        <w:spacing w:before="0" w:after="120"/>
        <w:rPr/>
      </w:pPr>
      <w:r>
        <w:rPr/>
        <w:t>The Certificates will be offered and sold to the Initial Purchaser, and the Notes will be sold to the Trust, in each case without registration under the United States Securities Act of 1933, as amended (the “Securities Act”), in reliance on an exemption from the registration requirements of the Securities Act. In connection with the reoffering and resale of the Certificates, the Company has prepared an Offering Circular, subject to completion, dated June __, 2000, including the documents incorporated therein by reference (the “Preliminary Offering Circular”), and a final Offering Circular dated the date hereof, including the documents incorporated therein by reference as of the date hereof (the “Offering Circular”), each setting forth or incorporating by reference certain information concerning, among other things, the Securities, the Trust, the Company, the Bank and the Trust Swap and Option Contracts. The Company hereby confirms that it has authorized the use of the Preliminary Offering Circular and the Offering Circular in connection with the offer and sale of the Securities. Unless stated to the contrary, all references herein to the Offering Circular are to the Offering Circular as of the date hereof and do not include any amendment or supplement thereto. All references herein to amendments or supplements to the Offering Circular shall include and be deemed to mean and include the filing of any document by the Company with the United States Securities and Exchange Commission (the “Commission”) pursuant to Section 13(a), 13(c), 14 or 15(d) of the United States Securities Exchange Act of 1934, as amended (the “Exchange Act”), as well as any sticker, supplement or amendment to the Offering Circular prepared by the Company and reviewed by the Initial Purchaser, in each case after the date hereof and prior to the termination of the offering of the Certificates.</w:t>
      </w:r>
    </w:p>
    <w:p>
      <w:pPr>
        <w:pStyle w:val="BodyTextFirstIndent"/>
        <w:spacing w:before="0" w:after="120"/>
        <w:rPr/>
      </w:pPr>
      <w:r>
        <w:rPr/>
        <w:t>The Trust understands that the Initial Purchaser proposes to offer and resell the Certificates only on the terms and in the manner set forth in the Offering Circular and Section 4 hereof, as soon as the Initial Purchaser deems advisable after this Agreement has been executed and delivered, only to persons in the United States whom the Initial Purchaser reasonably believes to be “qualified institutional buyers” (“QIBs”) as defined in Rule 144A under the Securities Act (“Rule 144A”) in transactions under Rule 144A and in offshore transactions complying with Regulation S under the Securities Act (“Regulation S”).</w:t>
      </w:r>
    </w:p>
    <w:p>
      <w:pPr>
        <w:pStyle w:val="BodyTextFirstIndent"/>
        <w:spacing w:before="0" w:after="120"/>
        <w:rPr/>
      </w:pPr>
      <w:r>
        <w:rPr/>
        <w:t>When used herein with respect to the Trust or the Pass-Through Trustee, the term “Operative Documents” shall refer collectively to this Agreement, the Trust Agreement, the Certificates and the Trust Swap and Option Contracts. When used herein in reference to the Company, the term “Operative Documents” shall refer collectively to this Agreement, the Notes, the Indenture, the Trust Agreement, the Remarketing Agreement and the Company Swap and Option Contracts.</w:t>
      </w:r>
    </w:p>
    <w:p>
      <w:pPr>
        <w:pStyle w:val="Heading1"/>
        <w:numPr>
          <w:ilvl w:val="0"/>
          <w:numId w:val="4"/>
        </w:numPr>
        <w:spacing w:before="120" w:after="120"/>
        <w:ind w:hanging="0" w:start="0"/>
        <w:rPr/>
      </w:pPr>
      <w:r>
        <w:rPr/>
        <w:t>The Company represents and warrants to, and agrees with, the Initial Purchaser that:</w:t>
      </w:r>
    </w:p>
    <w:p>
      <w:pPr>
        <w:pStyle w:val="Heading2"/>
        <w:numPr>
          <w:ilvl w:val="1"/>
          <w:numId w:val="4"/>
        </w:numPr>
        <w:tabs>
          <w:tab w:val="clear" w:pos="720"/>
        </w:tabs>
        <w:spacing w:before="0" w:after="120"/>
        <w:ind w:firstLine="720" w:start="720" w:end="0"/>
        <w:rPr/>
      </w:pPr>
      <w:r>
        <w:rPr/>
        <w:t>The Preliminary Offering Circular and the Offering Circular have been prepared in connection with the offering of the Securities. The Preliminary Offering Circular, as of its date, did not, and the Offering Circular, as of the date of this Agreement, does not, and at the Time of Purchase (as defined in Section 5 hereof) the Offering Circular, as amended or supplemented prior to such date, will not, contain any untrue statement of a material fact or omit to state a material fact necessary in order to make the statements therein, in the light of the circumstances under which they are made, not misleading, except that the Company makes no warranty or representation to the Initial Purchaser with respect to any statements or omissions made therein in reliance upon and in conformity with the Initial Purchaser Information (as defined in Section 8(f) hereof);</w:t>
      </w:r>
    </w:p>
    <w:p>
      <w:pPr>
        <w:pStyle w:val="Heading2"/>
        <w:numPr>
          <w:ilvl w:val="1"/>
          <w:numId w:val="4"/>
        </w:numPr>
        <w:tabs>
          <w:tab w:val="clear" w:pos="720"/>
        </w:tabs>
        <w:spacing w:before="0" w:after="120"/>
        <w:ind w:firstLine="720" w:start="720" w:end="0"/>
        <w:rPr/>
      </w:pPr>
      <w:r>
        <w:rPr/>
        <w:t>The Company has been duly incorporated and is validly existing and in good standing under the laws of its jurisdiction of incorporation, with the power and authority to conduct its business as described in the Offering Circular, to issue and sell the Notes and to enter into and perform its obligations under the other Operative Documents to which the Company is or will be a party; and the Company is duly qualified to transact business as a foreign company and is in good standing in any other jurisdiction in which such qualification is necessary, except to the extent that the failure to so qualify or be in good standing would not have a material adverse effect on the Company and its consolidated subsidiaries, taken as a whole;</w:t>
      </w:r>
    </w:p>
    <w:p>
      <w:pPr>
        <w:pStyle w:val="Heading2"/>
        <w:numPr>
          <w:ilvl w:val="1"/>
          <w:numId w:val="4"/>
        </w:numPr>
        <w:tabs>
          <w:tab w:val="clear" w:pos="720"/>
        </w:tabs>
        <w:spacing w:before="0" w:after="120"/>
        <w:ind w:firstLine="720" w:start="720" w:end="0"/>
        <w:rPr/>
      </w:pPr>
      <w:r>
        <w:rPr/>
        <w:t>The Trust has been duly created and is validly existing as a trust under the law of the State of New York; based on the advice of counsel, under current law and assuming full compliance with the terms of the Indenture and the Trust Agreement, the Trust will be classified for United States federal income tax purposes as a grantor trust and not as an association or a publicly traded partnership taxable as a corporation;</w:t>
      </w:r>
    </w:p>
    <w:p>
      <w:pPr>
        <w:pStyle w:val="Heading2"/>
        <w:numPr>
          <w:ilvl w:val="1"/>
          <w:numId w:val="4"/>
        </w:numPr>
        <w:tabs>
          <w:tab w:val="clear" w:pos="720"/>
        </w:tabs>
        <w:spacing w:before="0" w:after="120"/>
        <w:ind w:firstLine="720" w:start="720" w:end="0"/>
        <w:rPr/>
      </w:pPr>
      <w:r>
        <w:rPr/>
        <w:t>This Agreement has been duly authorized, executed and delivered by the Company;</w:t>
      </w:r>
    </w:p>
    <w:p>
      <w:pPr>
        <w:pStyle w:val="Heading2"/>
        <w:numPr>
          <w:ilvl w:val="1"/>
          <w:numId w:val="4"/>
        </w:numPr>
        <w:tabs>
          <w:tab w:val="clear" w:pos="720"/>
        </w:tabs>
        <w:spacing w:before="0" w:after="120"/>
        <w:ind w:firstLine="720" w:start="720" w:end="0"/>
        <w:rPr/>
      </w:pPr>
      <w:r>
        <w:rPr/>
        <w:t>The performance of the obligations of the Company under the Operative Documents to which the Company is or will be a party (other than this Agreement and the Notes) has been duly authorized by the Company; and, at the Time of Purchase, each of such Operative Documents will have been duly executed and delivered by the Company and, assuming due authorization, execution, issue, authentication and delivery by the other parties thereto, will constitute legal, valid and binding obligations of the Company enforceable against the Company in accordance with their respective terms, except as may be limited by (i) bankruptcy, insolvency, reorganization, receivership, liquidation, fraudulent conveyance and transfer, moratorium or other similar laws affecting creditors’ rights generally, (ii) general principles of equity (considered in a proceeding in equity or at law) or (iii) the limitations imposed by law or public policy upon the enforcement of indemnities and other particular remedies under the Operative Documents (collectively, the “Enforceability Exceptions”);</w:t>
      </w:r>
    </w:p>
    <w:p>
      <w:pPr>
        <w:pStyle w:val="Heading2"/>
        <w:numPr>
          <w:ilvl w:val="1"/>
          <w:numId w:val="4"/>
        </w:numPr>
        <w:tabs>
          <w:tab w:val="clear" w:pos="720"/>
        </w:tabs>
        <w:spacing w:before="0" w:after="120"/>
        <w:ind w:firstLine="720" w:start="720" w:end="0"/>
        <w:rPr/>
      </w:pPr>
      <w:r>
        <w:rPr/>
        <w:t>The issuance and delivery of, and the performance of the obligations of the Company under, the Notes have been duly authorized by the Company; and, at the Time of Purchase, the Notes will have been duly executed by the Company and, when authenticated by the Indenture Trustee in the manner provided for in the Indenture and delivered against payment therefor, will constitute legal, valid and binding obligations of the Company enforceable against the Company in accordance with their terms, except as may be limited by the Enforceability Exceptions, and will be entitled to the benefits of the Indenture;</w:t>
      </w:r>
    </w:p>
    <w:p>
      <w:pPr>
        <w:pStyle w:val="Heading2"/>
        <w:numPr>
          <w:ilvl w:val="1"/>
          <w:numId w:val="4"/>
        </w:numPr>
        <w:tabs>
          <w:tab w:val="clear" w:pos="720"/>
        </w:tabs>
        <w:spacing w:before="0" w:after="120"/>
        <w:ind w:firstLine="720" w:start="720" w:end="0"/>
        <w:rPr/>
      </w:pPr>
      <w:r>
        <w:rPr/>
        <w:t>The execution, delivery and performance by the Company of each of the Operative Documents to which it is or will be a party require, in respect of the Company, no action by or in respect of, or any filing with, any governmental authority (except as may be required under the Securities Act and the Exchange Act or “blue-sky” or securities laws of various states), and do not contravene, or constitute a default under, any provision of law applicable to the Company in effect at the Time of Purchase or of the Company’s charter  documents or any judgment, injunction, order or decree or material (“material” for purposes of this representation meaning creating a liability of $100,000,000 or more) agreement binding upon the Company or result in the creation or imposition of a material lien, security interest or other charge or encumbrance on any asset of the Company; and the execution, delivery and performance by the Company of each Operative Document to which it is or will be a party do not require the consent of or the approval or authorization of, or filing, registration or qualification with, any person or any governmental authority on the part of the Company as a condition to such execution, delivery and performance as and when required that has not been obtained, given or made except where failure to obtain such consent, approval or authorization, or to file, register or qualify, would not have a material adverse effect on the Company and its consolidated subsidiaries, taken as a whole;</w:t>
      </w:r>
    </w:p>
    <w:p>
      <w:pPr>
        <w:pStyle w:val="Heading2"/>
        <w:numPr>
          <w:ilvl w:val="1"/>
          <w:numId w:val="4"/>
        </w:numPr>
        <w:tabs>
          <w:tab w:val="clear" w:pos="720"/>
        </w:tabs>
        <w:spacing w:before="0" w:after="120"/>
        <w:ind w:firstLine="720" w:start="720" w:end="0"/>
        <w:rPr/>
      </w:pPr>
      <w:r>
        <w:rPr/>
        <w:t xml:space="preserve">The issue and sale of the Certificates by the Trust and the performance of the obligations of the Trust under the Operative Documents to which it (or the Pass-Through Trustee on behalf of the Trust) is or will be a party have been duly authorized by the terms of the Trust Agreement, and upon due execution, issue and delivery and payment therefor in accordance with the terms hereof, the Certificates will constitute valid and undivided beneficial interests in the Trust and will be entitled to the benefits of the Trust Agreement; </w:t>
      </w:r>
    </w:p>
    <w:p>
      <w:pPr>
        <w:pStyle w:val="Heading2"/>
        <w:numPr>
          <w:ilvl w:val="1"/>
          <w:numId w:val="4"/>
        </w:numPr>
        <w:tabs>
          <w:tab w:val="clear" w:pos="720"/>
        </w:tabs>
        <w:spacing w:before="0" w:after="120"/>
        <w:ind w:firstLine="720" w:start="720" w:end="0"/>
        <w:rPr/>
      </w:pPr>
      <w:r>
        <w:rPr/>
        <w:t xml:space="preserve">Neither the Company nor any of its Affiliates (as defined in Rule 501(b) of Regulation D under the Securities Act) has directly or through any agent (i) sold, offered for sale, solicited offers to buy or otherwise negotiated in respect of any security (as defined in the Securities Act) </w:t>
      </w:r>
      <w:r>
        <w:rPr>
          <w:spacing w:val="-3"/>
        </w:rPr>
        <w:t>that</w:t>
      </w:r>
      <w:r>
        <w:rPr/>
        <w:t xml:space="preserve"> is or will be integrated with the sale of the Notes or the sale of the Certificates in a manner that would require the registration under the Securities Act of any of the Securities or (ii) engaged in any form of general solicitation or general advertising (as those terms are used in Rule 502(c) of Regulation D under the Securities Act) in connection with the offering of the Securities, or acted in any manner involving a public offering of any of the Securities within the meaning of Section 4(2) of the Securities Act;</w:t>
      </w:r>
    </w:p>
    <w:p>
      <w:pPr>
        <w:pStyle w:val="Heading2"/>
        <w:numPr>
          <w:ilvl w:val="1"/>
          <w:numId w:val="4"/>
        </w:numPr>
        <w:tabs>
          <w:tab w:val="clear" w:pos="720"/>
        </w:tabs>
        <w:spacing w:before="0" w:after="120"/>
        <w:ind w:firstLine="720" w:start="720" w:end="0"/>
        <w:rPr/>
      </w:pPr>
      <w:r>
        <w:rPr/>
        <w:t>The Certificates are eligible for resale pursuant to Rule 144A, and none of the Securities will be, at the Time of Purchase, of the same class (within the meaning of paragraph (d)(3) of Rule 144A) as securities listed on a national securities exchange registered under Section 6 of the Exchange Act or quoted on a U.S. automated inter-dealer quotation system;</w:t>
      </w:r>
    </w:p>
    <w:p>
      <w:pPr>
        <w:pStyle w:val="Heading2"/>
        <w:numPr>
          <w:ilvl w:val="1"/>
          <w:numId w:val="4"/>
        </w:numPr>
        <w:tabs>
          <w:tab w:val="clear" w:pos="720"/>
        </w:tabs>
        <w:spacing w:before="0" w:after="120"/>
        <w:ind w:firstLine="720" w:start="720" w:end="0"/>
        <w:rPr/>
      </w:pPr>
      <w:r>
        <w:rPr/>
        <w:t>With respect to those Notes sold in reliance on Regulation S, if any, (i) neither the Company or any of its Affiliates nor any person acting on behalf of the Company or any of its Affiliates (other than the Initial Purchaser, as to whom the Company make no representation) has engaged in any directed selling efforts within the meaning of Regulation S and (ii) each of the Company and its Affiliates, and any person acting on behalf of the Company and its Affiliates (other than the Initial Purchaser, as to whom the Company makes no representation), has complied with the offering restrictions requirement of Regulation S;</w:t>
      </w:r>
    </w:p>
    <w:p>
      <w:pPr>
        <w:pStyle w:val="Heading2"/>
        <w:numPr>
          <w:ilvl w:val="1"/>
          <w:numId w:val="4"/>
        </w:numPr>
        <w:tabs>
          <w:tab w:val="clear" w:pos="720"/>
        </w:tabs>
        <w:spacing w:before="0" w:after="120"/>
        <w:ind w:firstLine="720" w:start="720" w:end="0"/>
        <w:rPr/>
      </w:pPr>
      <w:r>
        <w:rPr/>
        <w:t>Assuming the accuracy of the Initial Purchaser’s representations contained herein, and the Initial Purchaser’s compliance with its agreements hereunder, the offer, sale and delivery of the Certificates to the Initial Purchaser and the initial resales of the Certificates by the Initial Purchaser, each in the manner contemplated by this Agreement, do not require registration of the Certificates under the Securities Act or qualification of the Trust Agreement under the United States Trust Indenture Act of 1939, as amended (the “Trust Indenture Act”);</w:t>
      </w:r>
    </w:p>
    <w:p>
      <w:pPr>
        <w:pStyle w:val="Heading2"/>
        <w:numPr>
          <w:ilvl w:val="1"/>
          <w:numId w:val="4"/>
        </w:numPr>
        <w:tabs>
          <w:tab w:val="clear" w:pos="720"/>
        </w:tabs>
        <w:spacing w:before="0" w:after="120"/>
        <w:ind w:firstLine="720" w:start="720" w:end="0"/>
        <w:rPr/>
      </w:pPr>
      <w:r>
        <w:rPr/>
        <w:t>The documents incorporated by reference in the Preliminary Offering Circular and the Offering Circular, when they were filed by the Company with the Commission pursuant to the Exchange Act (or, if any amendment with respect to any such document was filed, when such amendment was filed), complied in all material respects with the applicable provisions of the Exchange Act and the rules and regulations of the Commission thereunder, and any documents deemed to be incorporated by reference in the Offering Circular, when they are filed by the Company with the Commission pursuant to the Exchange Act, will comply in all material respects with the applicable provisions of the Exchange Act and the rules and regulations of the Commission thereunder;</w:t>
      </w:r>
    </w:p>
    <w:p>
      <w:pPr>
        <w:pStyle w:val="Heading2"/>
        <w:numPr>
          <w:ilvl w:val="1"/>
          <w:numId w:val="4"/>
        </w:numPr>
        <w:tabs>
          <w:tab w:val="clear" w:pos="720"/>
        </w:tabs>
        <w:spacing w:before="0" w:after="120"/>
        <w:ind w:firstLine="720" w:start="720" w:end="0"/>
        <w:rPr/>
      </w:pPr>
      <w:r>
        <w:rPr/>
        <w:t>The consolidated financial statements of the Company and its consolidated subsidiaries, together with the notes thereto, incorporated by reference in the Preliminary Offering Circular and the Offering Circular present fairly the financial position of the Company and its consolidated subsidiaries at the dates or for the periods indicated; such consolidated financial statements have been prepared in conformity with United States generally accepted accounting principles applied on a consistent basis throughout the periods involved (except as stated therein or in the notes thereto); and the selected financial data and the summary financial information incorporated by reference in the Preliminary Offering Circular and the Offering Circular present fairly the information shown therein and have been compiled on a basis consistent with that of the audited financial statements incorporated by reference in the Preliminary Offering Circular and the Offering Circular;</w:t>
      </w:r>
    </w:p>
    <w:p>
      <w:pPr>
        <w:pStyle w:val="Heading2"/>
        <w:numPr>
          <w:ilvl w:val="1"/>
          <w:numId w:val="4"/>
        </w:numPr>
        <w:tabs>
          <w:tab w:val="clear" w:pos="720"/>
        </w:tabs>
        <w:spacing w:before="0" w:after="120"/>
        <w:ind w:firstLine="720" w:start="720" w:end="0"/>
        <w:rPr/>
      </w:pPr>
      <w:r>
        <w:rPr/>
        <w:t>The Company is not, and after giving effect to the offering and sale of the Securities will not be, an “investment company” or a company “controlled” by an “investment company” within the meaning of the United States Investment Company Act of 1940, as amended;</w:t>
      </w:r>
    </w:p>
    <w:p>
      <w:pPr>
        <w:pStyle w:val="Heading2"/>
        <w:numPr>
          <w:ilvl w:val="1"/>
          <w:numId w:val="4"/>
        </w:numPr>
        <w:tabs>
          <w:tab w:val="clear" w:pos="720"/>
        </w:tabs>
        <w:spacing w:before="0" w:after="120"/>
        <w:ind w:firstLine="720" w:start="720" w:end="0"/>
        <w:rPr/>
      </w:pPr>
      <w:r>
        <w:rPr/>
        <w:t>The Company is not subject to or is exempt from, and after giving effect to the offering and sale of the Securities will not be subject to or will be exempt from, regulation as a “holding company” under the United States Public Utility Holding Company Act of 1935, as amended; and</w:t>
      </w:r>
    </w:p>
    <w:p>
      <w:pPr>
        <w:pStyle w:val="Heading2"/>
        <w:numPr>
          <w:ilvl w:val="1"/>
          <w:numId w:val="4"/>
        </w:numPr>
        <w:tabs>
          <w:tab w:val="clear" w:pos="720"/>
        </w:tabs>
        <w:spacing w:before="0" w:after="120"/>
        <w:ind w:firstLine="720" w:start="720" w:end="0"/>
        <w:rPr/>
      </w:pPr>
      <w:r>
        <w:rPr/>
        <w:t>Each of the Operative Documents, including the Securities, will conform in all material respects to all statements relating thereto in the Offering Circular.</w:t>
      </w:r>
    </w:p>
    <w:p>
      <w:pPr>
        <w:pStyle w:val="Heading1"/>
        <w:numPr>
          <w:ilvl w:val="0"/>
          <w:numId w:val="4"/>
        </w:numPr>
        <w:spacing w:before="120" w:after="120"/>
        <w:ind w:hanging="0" w:start="0"/>
        <w:rPr/>
      </w:pPr>
      <w:r>
        <w:rPr/>
        <w:t>The Trustee represents and warrants to, and agrees with, the Company and the Initial Purchaser that:</w:t>
      </w:r>
    </w:p>
    <w:p>
      <w:pPr>
        <w:pStyle w:val="Heading2"/>
        <w:numPr>
          <w:ilvl w:val="1"/>
          <w:numId w:val="5"/>
        </w:numPr>
        <w:tabs>
          <w:tab w:val="clear" w:pos="720"/>
        </w:tabs>
        <w:spacing w:before="0" w:after="120"/>
        <w:ind w:firstLine="720" w:start="720" w:end="0"/>
        <w:rPr/>
      </w:pPr>
      <w:r>
        <w:rPr/>
        <w:t>The execution and delivery of the Operative Documents to which the Trust or the Pass-Through Trustee is or will be a party and the performance of its obligations thereunder have been duly authorized by all necessary corporate action of the Pass-Through Trustee; and each of such Operative Documents has been duly authorized and, at the Time of Purchase, will have been duly executed and delivered by the Pass-Through Trustee;</w:t>
      </w:r>
    </w:p>
    <w:p>
      <w:pPr>
        <w:pStyle w:val="Heading2"/>
        <w:numPr>
          <w:ilvl w:val="1"/>
          <w:numId w:val="5"/>
        </w:numPr>
        <w:tabs>
          <w:tab w:val="clear" w:pos="720"/>
        </w:tabs>
        <w:spacing w:before="0" w:after="120"/>
        <w:ind w:firstLine="720" w:start="720" w:end="0"/>
        <w:rPr/>
      </w:pPr>
      <w:r>
        <w:rPr/>
        <w:t>The Operative Documents to which the Trust or the Pass-Through Trustee on behalf of the Trust is or will be a party, when executed and delivered by the Pass-Through Trustee on behalf of the Trust and assuming due authorization, execution and delivery by the other parties thereto, will constitute valid and legally binding obligations of the Trust or the Pass-Through Trustee, as the case may be, enforceable against the Trust or the Pass-Through Trustee on behalf of the Trust in accordance with their respective terms, except as may be limited by the Enforceability Exceptions and except that certain of such obligations may be enforceable solely against the Trust Assets (as defined in the Trust Agreement);</w:t>
      </w:r>
    </w:p>
    <w:p>
      <w:pPr>
        <w:pStyle w:val="Heading2"/>
        <w:numPr>
          <w:ilvl w:val="1"/>
          <w:numId w:val="5"/>
        </w:numPr>
        <w:tabs>
          <w:tab w:val="clear" w:pos="720"/>
        </w:tabs>
        <w:spacing w:before="0" w:after="120"/>
        <w:ind w:firstLine="720" w:start="720" w:end="0"/>
        <w:rPr/>
      </w:pPr>
      <w:r>
        <w:rPr/>
        <w:t>The execution, delivery or performance by the Trust or the Pass-Through Trustee of the Operative Documents to which the Trust is or will be a party do not require any consent, approval or authorization of, or any registration or filing with, any New York or United States federal court or governmental agency or body having jurisdiction over the trust powers of the Pass-Through Trustee; and</w:t>
      </w:r>
    </w:p>
    <w:p>
      <w:pPr>
        <w:pStyle w:val="Heading2"/>
        <w:numPr>
          <w:ilvl w:val="1"/>
          <w:numId w:val="5"/>
        </w:numPr>
        <w:tabs>
          <w:tab w:val="clear" w:pos="720"/>
        </w:tabs>
        <w:spacing w:before="0" w:after="120"/>
        <w:ind w:firstLine="720" w:start="720" w:end="0"/>
        <w:rPr/>
      </w:pPr>
      <w:r>
        <w:rPr/>
        <w:t>The Trust is not a party to any documents or instruments other than the Operative Documents; and the execution and delivery by the Pass-Through Trustee on behalf of the Trust and the performance by the Pass-Through Trustee on behalf of the Trust of the obligations assumed under, and the terms of, the Operative Documents to which the Trust or it is or will be a party will not infringe or constitute a default under any laws or regulations of any governmental or regulatory body having jurisdiction over the trust powers of the Pass-Through Trustee.</w:t>
      </w:r>
    </w:p>
    <w:p>
      <w:pPr>
        <w:pStyle w:val="Heading1"/>
        <w:numPr>
          <w:ilvl w:val="0"/>
          <w:numId w:val="4"/>
        </w:numPr>
        <w:spacing w:before="120" w:after="120"/>
        <w:ind w:hanging="0" w:start="0"/>
        <w:rPr/>
      </w:pPr>
      <w:r>
        <w:rPr/>
        <w:t>On the basis of the representations, warranties and covenants contained in this Agreement, and subject to the terms and conditions herein set forth, (a) the Trust agrees to issue and sell to the Initial Purchaser, and the Initial Purchaser agrees to purchase from the Trust, 100% of the principal amount of Certificates at a purchase price of ___% of such principal amount and (b) the Company agrees to issue and sell to the Trust, and the Trust agrees to purchase from the Company, 100% of the principal amount of the Notes at a purchase price of ___% of such principal amount.</w:t>
      </w:r>
    </w:p>
    <w:p>
      <w:pPr>
        <w:pStyle w:val="Heading1"/>
        <w:numPr>
          <w:ilvl w:val="0"/>
          <w:numId w:val="4"/>
        </w:numPr>
        <w:spacing w:before="120" w:after="120"/>
        <w:ind w:hanging="0" w:start="0"/>
        <w:rPr/>
      </w:pPr>
      <w:r>
        <w:rPr/>
        <w:t>With respect to the initial offer and resale of the Certificates by the Initial Purchaser and the placement with the Trust of the Notes, the Initial Purchaser represents and warrants to, and agrees with, the Company and the Trust that:</w:t>
      </w:r>
    </w:p>
    <w:p>
      <w:pPr>
        <w:pStyle w:val="Heading5"/>
        <w:numPr>
          <w:ilvl w:val="4"/>
          <w:numId w:val="4"/>
        </w:numPr>
        <w:tabs>
          <w:tab w:val="clear" w:pos="720"/>
        </w:tabs>
        <w:spacing w:before="0" w:after="120"/>
        <w:ind w:firstLine="720" w:start="720" w:end="0"/>
        <w:jc w:val="both"/>
        <w:rPr/>
      </w:pPr>
      <w:r>
        <w:rPr/>
        <w:t>It is a Qualified Institutional Buyer within the meaning of Rule 144A and an “accredited investor” within the meaning of Rule 501(a) of Regulation D under the Securities Act and is purchasing the Certificates pursuant to Section 4(2) of the Securities Act;</w:t>
      </w:r>
    </w:p>
    <w:p>
      <w:pPr>
        <w:pStyle w:val="Heading5"/>
        <w:numPr>
          <w:ilvl w:val="4"/>
          <w:numId w:val="4"/>
        </w:numPr>
        <w:tabs>
          <w:tab w:val="clear" w:pos="720"/>
        </w:tabs>
        <w:spacing w:before="0" w:after="120"/>
        <w:ind w:firstLine="720" w:start="720" w:end="0"/>
        <w:jc w:val="both"/>
        <w:rPr/>
      </w:pPr>
      <w:r>
        <w:rPr/>
        <w:t>It has not offered or sold, and will not offer or sell, any of the Certificates except (i) to persons inside the United States whom it reasonably believes to be QIBS or, if any such person is buying for one or more institutional accounts for which such person is acting as fiduciary or agent, only if the Initial Purchaser reasonably believes that each such account is a QIB to whom notice has been given that such sale or delivery is being made in reliance on Rule 144A or (ii) to persons other than U.S. Persons (within the meaning of Regulation S) outside the United States in reliance upon Regulation S;</w:t>
      </w:r>
    </w:p>
    <w:p>
      <w:pPr>
        <w:pStyle w:val="Heading5"/>
        <w:numPr>
          <w:ilvl w:val="4"/>
          <w:numId w:val="4"/>
        </w:numPr>
        <w:tabs>
          <w:tab w:val="clear" w:pos="720"/>
        </w:tabs>
        <w:spacing w:before="0" w:after="120"/>
        <w:ind w:firstLine="720" w:start="720" w:end="0"/>
        <w:jc w:val="both"/>
        <w:rPr/>
      </w:pPr>
      <w:r>
        <w:rPr/>
        <w:t>Neither it nor any of its United States affiliates nor any person acting on its or their behalf has made or will make offers or sales of the Certificates or the Notes in the United States by means of any form of general solicitation or general advertising (within the meaning of Rule 502(c) of Regulation D under the Securities Act) or in any manner involving a public offering (within the meaning of Section 4(2) of the Securities Act) in the United States;</w:t>
      </w:r>
    </w:p>
    <w:p>
      <w:pPr>
        <w:pStyle w:val="Heading5"/>
        <w:numPr>
          <w:ilvl w:val="4"/>
          <w:numId w:val="4"/>
        </w:numPr>
        <w:tabs>
          <w:tab w:val="clear" w:pos="720"/>
        </w:tabs>
        <w:spacing w:before="0" w:after="120"/>
        <w:ind w:firstLine="720" w:start="720" w:end="0"/>
        <w:jc w:val="both"/>
        <w:rPr/>
      </w:pPr>
      <w:r>
        <w:rPr/>
        <w:t>With respect to offers and sales of Certificates outside the United States in reliance on Regulation S, (i) it will sell Certificates only in accordance with Regulation S and has not offered or sold, and will not offer or sell, Certificates within the United States or to, or for the account or benefit of, U.S. persons (A) as part of its distribution at any time or (B) otherwise until 40 days after the later of the date of the commencement of the offering of the Certificates to the public and the Time of Purchase (the “Distribution Compliance Period”), except in either case in reliance on Rule 144A, (ii) neither it or any of its affiliates nor any persons acting on its or their behalf has engaged or will engage in any directed selling efforts and (iii) it will send or have sent, at or prior to confirmation of a sale of Certificates (other than in reliance on Rule 144A), to each distributor, dealer or other person receiving a selling concession, fee or other remuneration to which it sells Certificates during the Distribution Compliance Period a confirmation or other notice setting forth the restrictions on offers and sales of Certificates within the United States or to, or for the account or benefit of, U.S. persons (terms used in this paragraph have the meanings ascribed to them in Regulation S); and</w:t>
      </w:r>
    </w:p>
    <w:p>
      <w:pPr>
        <w:pStyle w:val="Heading2"/>
        <w:numPr>
          <w:ilvl w:val="1"/>
          <w:numId w:val="5"/>
        </w:numPr>
        <w:tabs>
          <w:tab w:val="clear" w:pos="720"/>
        </w:tabs>
        <w:spacing w:before="0" w:after="120"/>
        <w:ind w:firstLine="720" w:start="720" w:end="0"/>
        <w:rPr/>
      </w:pPr>
      <w:r>
        <w:rPr/>
        <w:t>It will comply with all applicable laws and regulations in each jurisdiction in which it purchases, offers, sells or delivers Certificates or Notes or has in its possession or distributes or causes or permits to be distributed the Offering Circular or any other offering material relating to the offering of the Certificates.</w:t>
      </w:r>
    </w:p>
    <w:p>
      <w:pPr>
        <w:pStyle w:val="Heading1"/>
        <w:numPr>
          <w:ilvl w:val="0"/>
          <w:numId w:val="4"/>
        </w:numPr>
        <w:spacing w:before="120" w:after="120"/>
        <w:ind w:hanging="0" w:start="0"/>
        <w:rPr/>
      </w:pPr>
      <w:r>
        <w:rPr/>
        <w:t>The Certificates to be purchased by the Initial Purchaser hereunder will be issued by the Trust in definitive, fully registered form and represented by two global securities, which initially will be registered in the name of Cede &amp; Co., as nominee of, and deposited with the Pass-Through Trustee on behalf of and as custodian for, The Depository Trust Company (“DTC”). The Trust will deliver the Certificates to the Initial Purchaser against payment by or on behalf of the Initial Purchaser of the purchase price therefor by electronic transfer to the order of the Pass-Through Trustee in Federal (same day) funds, by instructing DTC to credit the Certificates to the account of the Initial Purchaser at DTC. The Company will cause the global securities representing the Certificates to be made available to the Initial Purchaser for checking at least 24 hours prior to the Time of Delivery at the office of DTC or its designated custodian (the “Designated Office”). The time and date of such delivery and payment shall be 10:00 a.m., New York City time, on June __, 2000 or such other time and date as the Initial Purchaser, the Trust and the Company may agree upon in writing. Such time and date are herein called the “Time of Purchase.”</w:t>
      </w:r>
    </w:p>
    <w:p>
      <w:pPr>
        <w:pStyle w:val="BodyTextFirstIndent"/>
        <w:spacing w:before="0" w:after="120"/>
        <w:rPr/>
      </w:pPr>
      <w:r>
        <w:rPr/>
        <w:t>The Notes will be issued in fully registered definitive form by the Company and will be deposited with the Pass-Through Trustee against payment by wire transfer in Federal (same day) funds of the purchase price therefor.</w:t>
      </w:r>
    </w:p>
    <w:p>
      <w:pPr>
        <w:pStyle w:val="BodyTextFirstIndent"/>
        <w:spacing w:before="0" w:after="120"/>
        <w:rPr/>
      </w:pPr>
      <w:r>
        <w:rPr/>
        <w:t>The documents to be delivered at the Time of Purchase by or on behalf of the parties hereto pursuant to Section 7 hereof, including the Certificates and the Notes and the cross-receipts for the Certificates and the Notes and any additional documents requested by the Initial Purchaser pursuant to Section 7(a) hereof, will be delivered at such time and date at the offices of Winthrop, Stimson, Putnam &amp; Roberts (“Counsel for the Initial Purchaser”), One Battery Park Plaza, New York, New York 10004 (the “Closing Location”). The Certificates will be delivered at the Designated Office at the Time of Purchase.</w:t>
      </w:r>
    </w:p>
    <w:p>
      <w:pPr>
        <w:pStyle w:val="Heading1"/>
        <w:numPr>
          <w:ilvl w:val="0"/>
          <w:numId w:val="4"/>
        </w:numPr>
        <w:spacing w:before="120" w:after="120"/>
        <w:ind w:hanging="0" w:start="0"/>
        <w:rPr/>
      </w:pPr>
      <w:r>
        <w:rPr/>
        <w:t>The Company (and, to the extent so specified, the Pass-Through Trustee on behalf of the Trust) agrees with the Initial Purchaser:</w:t>
      </w:r>
    </w:p>
    <w:p>
      <w:pPr>
        <w:pStyle w:val="Heading2"/>
        <w:numPr>
          <w:ilvl w:val="1"/>
          <w:numId w:val="4"/>
        </w:numPr>
        <w:tabs>
          <w:tab w:val="clear" w:pos="720"/>
        </w:tabs>
        <w:spacing w:before="0" w:after="120"/>
        <w:ind w:firstLine="720" w:start="720" w:end="0"/>
        <w:rPr/>
      </w:pPr>
      <w:r>
        <w:rPr/>
        <w:t>At any time prior to completion of the initial resales of the Certificates by the Initial Purchaser to purchasers, before amending or supplementing the Offering Circular, to advise the Initial Purchaser thereof and to furnish the Initial Purchaser a copy of such proposed amendment or supplement;</w:t>
      </w:r>
    </w:p>
    <w:p>
      <w:pPr>
        <w:pStyle w:val="Heading2"/>
        <w:numPr>
          <w:ilvl w:val="1"/>
          <w:numId w:val="4"/>
        </w:numPr>
        <w:tabs>
          <w:tab w:val="clear" w:pos="720"/>
        </w:tabs>
        <w:spacing w:before="0" w:after="120"/>
        <w:ind w:firstLine="720" w:start="720" w:end="0"/>
        <w:rPr/>
      </w:pPr>
      <w:r>
        <w:rPr/>
        <w:t xml:space="preserve">To use its best efforts to qualify the Certificates for offer and sale under the securities or “blue sky” laws of such jurisdictions as the Initial Purchaser may designate within six months after the date hereof and to pay, or to reimburse the Initial Purchaser and Counsel for the Initial Purchaser for, reasonable filing fees and expenses in connection therewith and with the preparation of a “blue sky” survey in an amount not exceeding $3,500 in the aggregate (including filing fees and expenses paid and incurred prior to the date hereof); </w:t>
      </w:r>
      <w:r>
        <w:rPr>
          <w:i/>
        </w:rPr>
        <w:t>provided, however</w:t>
      </w:r>
      <w:r>
        <w:rPr/>
        <w:t>, that in no event shall the Company be obligated to qualify to do business in any jurisdiction where it is not now so qualified, to take any action that would subject it to service of process in suits, other than those arising out of the offering or sale of the Purchased Securities, in any jurisdiction where it is not now so subject, to qualify in any jurisdiction as a broker-dealer or subject itself to any taxing authority where it is not now so subject;</w:t>
      </w:r>
    </w:p>
    <w:p>
      <w:pPr>
        <w:pStyle w:val="Heading2"/>
        <w:numPr>
          <w:ilvl w:val="1"/>
          <w:numId w:val="4"/>
        </w:numPr>
        <w:tabs>
          <w:tab w:val="clear" w:pos="720"/>
        </w:tabs>
        <w:spacing w:before="0" w:after="120"/>
        <w:ind w:firstLine="720" w:start="720" w:end="0"/>
        <w:rPr/>
      </w:pPr>
      <w:r>
        <w:rPr/>
        <w:t xml:space="preserve">To pay, except as otherwise expressly provided herein, all expenses incidental to the performance of its obligations and the obligations of the Trust under this Agreement, including (i) the preparation of the Preliminary Offering Circular and the Offering Circulars (and any amendments or supplements thereto), (ii) the issuance and delivery of the Securities, (iii) the fees and disbursements of the Company’s counsel and accountants, the fees of the Pass-Through Trustee and the Indenture Trustee and the fees and disbursements of their counsel, (iv) the fees and expenses in connection with the ratings of the Securities by securities rating organizations, (v) the printing and delivery of copies of the Preliminary Offering Circular and the Offering Circulars (and any amendments or supplements thereto), (vi) the reasonable fees and disbursements of Counsel for the Initial Purchaser and other counsel for the Initial Purchaser and (vii) the Company’s costs and expenses for travel, lodging and incidental expenses relating to investor presentations on any “road show” undertaken in connection with the marketing of the Certificates; </w:t>
      </w:r>
      <w:r>
        <w:rPr>
          <w:i/>
        </w:rPr>
        <w:t>provided, however</w:t>
      </w:r>
      <w:r>
        <w:rPr/>
        <w:t>, that it is understood that, except as provided in Sections 6(b) and 8 hereof, and in this Section 6(c), the Initial Purchaser will pay all of its costs and expenses;</w:t>
      </w:r>
    </w:p>
    <w:p>
      <w:pPr>
        <w:pStyle w:val="Heading2"/>
        <w:numPr>
          <w:ilvl w:val="1"/>
          <w:numId w:val="4"/>
        </w:numPr>
        <w:tabs>
          <w:tab w:val="clear" w:pos="720"/>
        </w:tabs>
        <w:spacing w:before="0" w:after="120"/>
        <w:ind w:firstLine="720" w:start="720" w:end="0"/>
        <w:rPr/>
      </w:pPr>
      <w:r>
        <w:rPr/>
        <w:t xml:space="preserve">During the period from the date hereof and continuing to and including the earlier of (i) the date on which the distribution of the Certificates ceases, as determined by the Initial Purchaser in its sole discretion, or the Time of Purchase, whichever is later, and (ii) the date </w:t>
      </w:r>
      <w:r>
        <w:rPr>
          <w:spacing w:val="-3"/>
        </w:rPr>
        <w:t>that</w:t>
      </w:r>
      <w:r>
        <w:rPr/>
        <w:t xml:space="preserve"> is 30 days after the Time of Purchase, not to offer, sell, contract to sell or otherwise dispose of any debt securities of the Company substantially similar to the Notes without the consent of the Initial Purchaser;</w:t>
      </w:r>
    </w:p>
    <w:p>
      <w:pPr>
        <w:pStyle w:val="Heading2"/>
        <w:numPr>
          <w:ilvl w:val="1"/>
          <w:numId w:val="4"/>
        </w:numPr>
        <w:tabs>
          <w:tab w:val="clear" w:pos="720"/>
        </w:tabs>
        <w:spacing w:before="0" w:after="120"/>
        <w:ind w:firstLine="720" w:start="720" w:end="0"/>
        <w:rPr/>
      </w:pPr>
      <w:r>
        <w:rPr/>
      </w:r>
      <w:r>
        <w:rPr/>
        <w:t>To prepare the Offering Circular in a form approved by the Initial Purchaser and to furnish to the Initial Purchaser, without charge, as many copies of the Offering Circular and any supplements and amendments thereto as the Initial Purchaser may reasonably request;</w:t>
      </w:r>
    </w:p>
    <w:p>
      <w:pPr>
        <w:pStyle w:val="Heading2"/>
        <w:numPr>
          <w:ilvl w:val="1"/>
          <w:numId w:val="4"/>
        </w:numPr>
        <w:tabs>
          <w:tab w:val="clear" w:pos="720"/>
        </w:tabs>
        <w:spacing w:before="0" w:after="120"/>
        <w:ind w:firstLine="720" w:start="720" w:end="0"/>
        <w:rPr/>
      </w:pPr>
      <w:r>
        <w:rPr/>
        <w:t>At any time prior to completion of the initial resales of the Certificates by the Initial Purchaser to purchasers, if any event shall have occurred as a result of which it is necessary, in the opinion of counsel for the Company or Counsel for the Initial Purchaser, to amend or supplement the Offering Circular in order to make the statements therein, in the light of the circumstances existing when the Offering Circular is delivered to a purchaser, not misleading, forthwith to prepare and deliver, at the Company’s sole expense, such amendment or supplement as may be necessary to make the Offering Circular not misleading and to furnish the Initial Purchaser with such number of copies as the Initial Purchaser may reasonably request;</w:t>
      </w:r>
    </w:p>
    <w:p>
      <w:pPr>
        <w:pStyle w:val="Heading2"/>
        <w:numPr>
          <w:ilvl w:val="1"/>
          <w:numId w:val="4"/>
        </w:numPr>
        <w:tabs>
          <w:tab w:val="clear" w:pos="720"/>
        </w:tabs>
        <w:spacing w:before="0" w:after="120"/>
        <w:ind w:firstLine="720" w:start="720" w:end="0"/>
        <w:rPr/>
      </w:pPr>
      <w:r>
        <w:rPr/>
        <w:t>So long as the Certificates are outstanding and are “restricted securities” within the meaning of Rule 144(a)(3) under the Securities Act, (i) to furnish to holders of Certificates and prospective purchasers of Certificates designated by such holders, upon the request of such holders or such prospective purchasers, the information required to be delivered pursuant to Rule 144A(d)(4) under the Securities Act, unless such information is contained, at the time of such request, in documents filed with the Commission pursuant to Section 13 or 15(d) of the Exchange Act and (ii) to provide the Pass-Through Trustee with any such information required to be delivered by the Trust under Section 4.6 of the Trust Agreement; and the Trust agrees with the Initial Purchaser that the Pass-Through Trustee shall, provided the Company shall have performed its obligations under Section 4.6 of the Trust Agreement, promptly furnish to the Company any such information required by the Company to comply with its agreement contained in the first clause of this Section 6(g);</w:t>
      </w:r>
    </w:p>
    <w:p>
      <w:pPr>
        <w:pStyle w:val="Heading2"/>
        <w:numPr>
          <w:ilvl w:val="1"/>
          <w:numId w:val="4"/>
        </w:numPr>
        <w:tabs>
          <w:tab w:val="clear" w:pos="720"/>
        </w:tabs>
        <w:spacing w:before="0" w:after="120"/>
        <w:ind w:firstLine="720" w:start="720" w:end="0"/>
        <w:rPr/>
      </w:pPr>
      <w:r>
        <w:rPr/>
        <w:t>Not to distribute, prior to the later to occur of the Time of Purchase and completion of the initial resales of the Certificates, any offering material in connection with the offering and sale of the Certificates other than the Preliminary Offering Circular and the Offering Circular and any amendments or supplements thereto contemplated hereby;</w:t>
      </w:r>
    </w:p>
    <w:p>
      <w:pPr>
        <w:pStyle w:val="Heading2"/>
        <w:numPr>
          <w:ilvl w:val="1"/>
          <w:numId w:val="4"/>
        </w:numPr>
        <w:tabs>
          <w:tab w:val="clear" w:pos="720"/>
        </w:tabs>
        <w:spacing w:before="0" w:after="120"/>
        <w:ind w:firstLine="720" w:start="720" w:end="0"/>
        <w:rPr/>
      </w:pPr>
      <w:r>
        <w:rPr/>
        <w:t>To use its reasonable commercial efforts to permit the Certificates to be eligible for clearance and settlement through DTC;</w:t>
      </w:r>
    </w:p>
    <w:p>
      <w:pPr>
        <w:pStyle w:val="Heading2"/>
        <w:numPr>
          <w:ilvl w:val="1"/>
          <w:numId w:val="4"/>
        </w:numPr>
        <w:tabs>
          <w:tab w:val="clear" w:pos="720"/>
        </w:tabs>
        <w:spacing w:before="0" w:after="120"/>
        <w:ind w:firstLine="720" w:start="720" w:end="0"/>
        <w:rPr/>
      </w:pPr>
      <w:r>
        <w:rPr/>
        <w:t>Not to, and to ensure that each of its Affiliates, whether directly or through any agent, does not solicit any offer to buy or offer to sell the Securities by means of any form of general solicitation or general advertising (as those terms are used in Rule 502(c) of Regulation D under the Securities Act) or in any manner involving a public offering within the meaning of Section 4(2) of the Securities Act;</w:t>
      </w:r>
    </w:p>
    <w:p>
      <w:pPr>
        <w:pStyle w:val="Heading2"/>
        <w:numPr>
          <w:ilvl w:val="1"/>
          <w:numId w:val="4"/>
        </w:numPr>
        <w:tabs>
          <w:tab w:val="clear" w:pos="720"/>
        </w:tabs>
        <w:spacing w:before="0" w:after="120"/>
        <w:ind w:firstLine="720" w:start="720" w:end="0"/>
        <w:rPr/>
      </w:pPr>
      <w:r>
        <w:rPr/>
        <w:t>To refrain, and cause its Affiliates to refrain, from selling, offering for sale or soliciting offers to buy or otherwise negotiating in respect of any security (as defined in the Securities Act) in a transaction that could be integrated with the sale of the Certificates or the sale of the Notes in a manner that would require the registration under the Securities Act of any of the Securities;</w:t>
      </w:r>
    </w:p>
    <w:p>
      <w:pPr>
        <w:pStyle w:val="Heading2"/>
        <w:numPr>
          <w:ilvl w:val="1"/>
          <w:numId w:val="4"/>
        </w:numPr>
        <w:tabs>
          <w:tab w:val="clear" w:pos="720"/>
        </w:tabs>
        <w:spacing w:before="0" w:after="120"/>
        <w:ind w:firstLine="720" w:start="720" w:end="0"/>
        <w:rPr/>
      </w:pPr>
      <w:r>
        <w:rPr/>
        <w:t xml:space="preserve">During the period of two years after the Time of Purchase, not to, and not permit any of its Affiliates to, purchase, agree to purchase or otherwise acquire any of the Certificates </w:t>
      </w:r>
      <w:r>
        <w:rPr>
          <w:spacing w:val="-3"/>
        </w:rPr>
        <w:t>that</w:t>
      </w:r>
      <w:r>
        <w:rPr/>
        <w:t xml:space="preserve"> constitute “restricted securities” under Rule 144 under the Securities Act unless, immediately upon such purchase, the Company or such Affiliate submits such Certificates to the Pass-Through Trustee for cancellation;</w:t>
      </w:r>
    </w:p>
    <w:p>
      <w:pPr>
        <w:pStyle w:val="Heading2"/>
        <w:numPr>
          <w:ilvl w:val="1"/>
          <w:numId w:val="4"/>
        </w:numPr>
        <w:tabs>
          <w:tab w:val="clear" w:pos="720"/>
        </w:tabs>
        <w:spacing w:before="0" w:after="120"/>
        <w:ind w:firstLine="720" w:start="720" w:end="0"/>
        <w:rPr/>
      </w:pPr>
      <w:r>
        <w:rPr/>
        <w:t>With respect to those Notes sold in reliance on Regulation S, (i) not to, and to ensure that each of its Affiliates and each person acting on behalf of the Company or any Affiliate (other than the Initial Purchaser) does not, engage in any directed selling efforts within the meaning of Regulation S and (ii) to, and to ensure that each of its Affiliates and each person acting on behalf of the Company or any Affiliate (other than the Initial Purchaser) shall, comply with the offering restrictions requirement of Regulation S; and</w:t>
      </w:r>
    </w:p>
    <w:p>
      <w:pPr>
        <w:pStyle w:val="Heading2"/>
        <w:numPr>
          <w:ilvl w:val="1"/>
          <w:numId w:val="4"/>
        </w:numPr>
        <w:tabs>
          <w:tab w:val="clear" w:pos="720"/>
        </w:tabs>
        <w:spacing w:before="0" w:after="120"/>
        <w:ind w:firstLine="720" w:start="720" w:end="0"/>
        <w:rPr/>
      </w:pPr>
      <w:r>
        <w:rPr/>
        <w:t>To use the net proceeds received from the sale of the Notes pursuant to this Agreement in the manner specified under “Use of Proceeds” in the Offering Circular.</w:t>
      </w:r>
    </w:p>
    <w:p>
      <w:pPr>
        <w:pStyle w:val="Heading1"/>
        <w:numPr>
          <w:ilvl w:val="0"/>
          <w:numId w:val="4"/>
        </w:numPr>
        <w:spacing w:before="120" w:after="120"/>
        <w:ind w:hanging="0" w:start="0"/>
        <w:rPr/>
      </w:pPr>
      <w:r>
        <w:rPr/>
        <w:t>The obligations of the Initial Purchaser hereunder shall be subject, in its discretion, to the condition that all representations and warranties and other statements hereunder of the Trust, the Pass-Through Trustee and the Company are, at and as of the Time of Purchase, true and correct, to the condition that the Trust, the Pass-Through Trustee and the Company shall have performed all of their respective obligations hereunder theretofore to be performed and to the following additional conditions:</w:t>
      </w:r>
    </w:p>
    <w:p>
      <w:pPr>
        <w:pStyle w:val="Heading2"/>
        <w:numPr>
          <w:ilvl w:val="1"/>
          <w:numId w:val="4"/>
        </w:numPr>
        <w:tabs>
          <w:tab w:val="clear" w:pos="720"/>
        </w:tabs>
        <w:spacing w:before="0" w:after="120"/>
        <w:ind w:firstLine="720" w:start="720" w:end="0"/>
        <w:rPr/>
      </w:pPr>
      <w:r>
        <w:rPr/>
        <w:t>That all legal proceedings to be taken and all legal opinions to be rendered in connection with the issuance and sale of the Certificates and the other transactions contemplated hereby shall be satisfactory in form and substance to the Initial Purchaser and Counsel for the Initial Purchaser, and the Company and the Trust shall have furnished Counsel for the Initial Purchaser with all documents and information that it may reasonably request to enable it to pass upon such matters;</w:t>
      </w:r>
    </w:p>
    <w:p>
      <w:pPr>
        <w:pStyle w:val="Heading2"/>
        <w:numPr>
          <w:ilvl w:val="1"/>
          <w:numId w:val="4"/>
        </w:numPr>
        <w:tabs>
          <w:tab w:val="clear" w:pos="720"/>
        </w:tabs>
        <w:spacing w:before="0" w:after="120"/>
        <w:ind w:firstLine="720" w:start="720" w:end="0"/>
        <w:rPr/>
      </w:pPr>
      <w:r>
        <w:rPr/>
        <w:t>That, at the Time of Purchase, the Initial Purchaser shall be furnished with the following opinions, dated the day of the Time of Purchase, with such changes therein as may be agreed upon by the Company and the Initial Purchaser with the approval of Counsel for the Initial Purchaser: (i) an opinion of James V. Derrick, Jr., Esq., Executive Vice President and General Counsel of the Company, substantially in the form attached as Exhibit A hereto; (ii) an opinion of Vinson &amp; Elkins L.L.P., counsel for the Company, substantially in the form attached as Exhibit B hereto; (iii) an opinion of Winthrop, Stimson, Putnam &amp; Roberts, as Counsel for the Initial Purchaser, substantially in the form attached as Exhibit C hereto; (iv) an opinion of Bracewell &amp; Patterson, L.L.P., special counsel for the Initial Purchaser, substantially in the form attached as Exhibit D hereto; (v) an opinion of internal counsel for the Bank substantially in the form attached as Exhibit E hereto; and (vi) an opinion of Winthrop, Stimson, Putnam &amp; Roberts, counsel for the Pass-Through Trustee and the Indenture Trustee, substantially in the form attached as Exhibit F hereto;</w:t>
      </w:r>
    </w:p>
    <w:p>
      <w:pPr>
        <w:pStyle w:val="Heading2"/>
        <w:numPr>
          <w:ilvl w:val="1"/>
          <w:numId w:val="4"/>
        </w:numPr>
        <w:tabs>
          <w:tab w:val="clear" w:pos="720"/>
        </w:tabs>
        <w:spacing w:before="0" w:after="120"/>
        <w:ind w:firstLine="720" w:start="720" w:end="0"/>
        <w:rPr/>
      </w:pPr>
      <w:r>
        <w:rPr/>
      </w:r>
      <w:r>
        <w:rPr/>
      </w:r>
      <w:r>
        <w:rPr/>
        <w:t>That the Initial Purchaser shall have received a letter from Arthur Andersen LLP, the Company’s independent public accountants, in form and substance satisfactory to the Initial Purchaser and dated the date of the Time of Purchase;</w:t>
      </w:r>
    </w:p>
    <w:p>
      <w:pPr>
        <w:pStyle w:val="Heading2"/>
        <w:numPr>
          <w:ilvl w:val="1"/>
          <w:numId w:val="4"/>
        </w:numPr>
        <w:tabs>
          <w:tab w:val="clear" w:pos="720"/>
        </w:tabs>
        <w:spacing w:before="0" w:after="120"/>
        <w:ind w:firstLine="720" w:start="720" w:end="0"/>
        <w:rPr/>
      </w:pPr>
      <w:r>
        <w:rPr/>
        <w:t>That, at the Time of Purchase, there shall not have been any change, or any development involving a prospective change, in or affecting the general affairs, financial position, stockholders’ equity or results of operations of the Company and its subsidiaries from that set forth in the Offering Circular (other than changes set forth in or contemplated by the Offering Circular) that in the reasonable judgment of the Initial Purchaser would materially and adversely affect the resale of the Certificates; and that the Company shall, at the Time of Purchase, have delivered to the Initial Purchaser a certificate of an officer of the Company and a certificate of the Company to the effect that, (i) to the best of such officer’s knowledge, information and belief, there has been no such change, (ii) the warranties and representations on the part of the Company contained in this Agreement are true and correct with the same force and effect as though expressly made at and as of the Time of Purchase and (iii) the Company has complied with all agreements and satisfied all conditions on its part to be performed or satisfied under this Agreement at or prior to the Time of Purchase;</w:t>
      </w:r>
    </w:p>
    <w:p>
      <w:pPr>
        <w:pStyle w:val="Heading2"/>
        <w:numPr>
          <w:ilvl w:val="1"/>
          <w:numId w:val="4"/>
        </w:numPr>
        <w:tabs>
          <w:tab w:val="clear" w:pos="720"/>
        </w:tabs>
        <w:spacing w:before="0" w:after="120"/>
        <w:ind w:firstLine="720" w:start="720" w:end="0"/>
        <w:rPr/>
      </w:pPr>
      <w:r>
        <w:rPr/>
        <w:t>That the Initial Purchaser shall have received a certificate of the Bank, dated the date of the Time of Purchase, regarding certain matters relating to the Bank satisfactory to the Initial Purchaser;</w:t>
      </w:r>
    </w:p>
    <w:p>
      <w:pPr>
        <w:pStyle w:val="Heading2"/>
        <w:numPr>
          <w:ilvl w:val="1"/>
          <w:numId w:val="4"/>
        </w:numPr>
        <w:tabs>
          <w:tab w:val="clear" w:pos="720"/>
        </w:tabs>
        <w:spacing w:before="0" w:after="120"/>
        <w:ind w:firstLine="720" w:start="720" w:end="0"/>
        <w:rPr/>
      </w:pPr>
      <w:r>
        <w:rPr/>
        <w:t>That Duff &amp; Phelps Credit Rating Company, Moody’s Investors Service, Inc. and Standard &amp; Poor’s Ratings Services, a division of the McGraw-Hill Companies, Inc., shall have publicly assigned ratings to the Certificates of ___, ___ and ___, respectively, which ratings shall be in full force and effect at the Time of Purchase, and the Initial Purchaser shall have received evidence satisfactory to it that such ratings have been assigned; and that, on or after the date of this Agreement, (i) no downgrading shall have occurred in the rating accorded any of the Company’s securities by any “nationally recognized statistical rating organization” within the meaning of the Exchange Act and (ii) no such organization shall have publicly announced that it has under surveillance or review, with possible negative implications, its rating of any of the Company’s securities;</w:t>
      </w:r>
    </w:p>
    <w:p>
      <w:pPr>
        <w:pStyle w:val="Heading2"/>
        <w:numPr>
          <w:ilvl w:val="1"/>
          <w:numId w:val="4"/>
        </w:numPr>
        <w:tabs>
          <w:tab w:val="clear" w:pos="720"/>
        </w:tabs>
        <w:spacing w:before="0" w:after="120"/>
        <w:ind w:firstLine="720" w:start="720" w:end="0"/>
        <w:rPr/>
      </w:pPr>
      <w:r>
        <w:rPr/>
        <w:t>The Trustee, on behalf of the Trust, shall have entered into (i) the Trust Call Option with the Callholder against payment by the Callholder of the premium therefor in accordance with the terms thereof and (ii) the Trust Currency Swap with the Swap Counterparty; and</w:t>
      </w:r>
    </w:p>
    <w:p>
      <w:pPr>
        <w:pStyle w:val="Heading2"/>
        <w:numPr>
          <w:ilvl w:val="1"/>
          <w:numId w:val="4"/>
        </w:numPr>
        <w:tabs>
          <w:tab w:val="clear" w:pos="720"/>
        </w:tabs>
        <w:spacing w:before="0" w:after="120"/>
        <w:ind w:firstLine="720" w:start="720" w:end="0"/>
        <w:rPr/>
      </w:pPr>
      <w:r>
        <w:rPr/>
        <w:t>The Company and the Bank shall have entered into the Company Swap and Option Contracts against, in the case of the Company  Call Option, the payment by the Bank referred to therein.</w:t>
      </w:r>
    </w:p>
    <w:p>
      <w:pPr>
        <w:pStyle w:val="BodyTextFirstIndent"/>
        <w:spacing w:before="0" w:after="120"/>
        <w:rPr/>
      </w:pPr>
      <w:r>
        <w:rPr/>
        <w:t>In case any of the conditions specified above in this Section 7 shall not have been fulfilled, this Agreement may be terminated by the Initial Purchaser at any time at or prior to the Time of Purchase upon written notice thereof to the Company. Any such termination shall be without liability of any party to any other party except as otherwise provided in Sections 6(b) and 6(c) hereof and except for any liability under Section 8 hereof.</w:t>
      </w:r>
    </w:p>
    <w:p>
      <w:pPr>
        <w:pStyle w:val="Heading1"/>
        <w:numPr>
          <w:ilvl w:val="0"/>
          <w:numId w:val="4"/>
        </w:numPr>
        <w:spacing w:before="120" w:after="120"/>
        <w:ind w:hanging="0" w:start="0"/>
        <w:rPr/>
      </w:pPr>
      <w:r>
        <w:rPr/>
        <w:t>(a)</w:t>
        <w:tab/>
        <w:t xml:space="preserve">The Company will indemnify and hold harmless the Initial Purchaser for and against any losses, damages or liabilities, joint or several, to which the Initial Purchaser may become subject, under the Exchange Act or otherwise, insofar as such losses, damages or liabilities (or actions or claims in respect thereof) arise out of or are based upon an untrue statement or alleged untrue statement of a material fact contained in the Preliminary Offering Circular or the Offering Circular, or any amendment or supplement thereto, or arise out of or are based upon the omission or alleged omission to state therein a material fact required to be stated therein or necessary to make the statements therein not misleading, and will reimburse the Initial Purchaser for any legal or other expenses incurred by the Initial Purchaser in connection with investigating or defending any such action or claim as such expenses are incurred (including such losses, damages, liabilities or expenses to the extent of the aggregate amount paid in settlement of any such action or claim, provided that (subject to Section 8(c) hereof) any such settlement is effected with the written consent of the Company); </w:t>
      </w:r>
      <w:r>
        <w:rPr>
          <w:i/>
        </w:rPr>
        <w:t xml:space="preserve">provided, however, </w:t>
      </w:r>
      <w:r>
        <w:rPr/>
        <w:t>that the Company shall not be liable in any such case to the extent that any such loss, damage or liability arises out of or is based upon an untrue statement or alleged untrue statement or omission or alleged omission made in the Preliminary Offering Circular or the Offering Circular, or any such amendment or supplement, in reliance upon and in conformity with the Initial Purchaser Information.</w:t>
      </w:r>
    </w:p>
    <w:p>
      <w:pPr>
        <w:pStyle w:val="Normal"/>
        <w:suppressAutoHyphens w:val="true"/>
        <w:spacing w:before="0" w:after="120"/>
        <w:ind w:firstLine="720" w:end="0"/>
        <w:jc w:val="both"/>
        <w:rPr/>
      </w:pPr>
      <w:r>
        <w:rPr/>
        <w:t>(b)</w:t>
        <w:tab/>
        <w:t>The Initial Purchaser will indemnify and hold harmless the Company for and against any losses, damages or liabilities to which the Company may become subject, under the Exchange Act or otherwise, insofar as such losses, damages or liabilities (or actions or claims in respect thereof) arise out of or are based upon an untrue statement or alleged untrue statement of a material fact contained in the Preliminary Offering Circular or the Offering Circular, or any amendment or supplement thereto, or arise out of are based upon the omission or alleged omission to state therein a material fact required to be stated therein or necessary to make the statements therein not misleading, in each case to the extent, but only to the extent, that such untrue statement or alleged untrue statement or omission or alleged omission was made in the Preliminary Offering Circular or the Offering Circular, or any such amendment or supplement, in reliance on and in conformity with the Initial Purchaser Information, and will reimburse the Company for any legal or other expenses incurred by the Company in connection with investigating or defending any such action or claim as such expenses are incurred (including such losses, damages, liabilities or expenses to the extent of the aggregate amount paid in settlement of any such action or claim provided that (subject to Section 8(c) hereof) any such settlement is effected with the written consent of the Initial Purchaser).</w:t>
      </w:r>
    </w:p>
    <w:p>
      <w:pPr>
        <w:pStyle w:val="Normal"/>
        <w:numPr>
          <w:ilvl w:val="0"/>
          <w:numId w:val="3"/>
        </w:numPr>
        <w:spacing w:lineRule="atLeast" w:line="240"/>
        <w:ind w:firstLine="720" w:start="0" w:end="0"/>
        <w:jc w:val="both"/>
        <w:rPr/>
      </w:pPr>
      <w:r>
        <w:rPr/>
        <w:t xml:space="preserve">Promptly after receipt by an indemnified party under Section 8(a) or 8(b) hereof of notice of the commencement of any action, such indemnified party shall, if a claim in respect thereof is to be made against the indemnifying party under Section 8(a) or 8(b) hereof, notify such indemnifying party in writing of the commencement thereof, but the failure so to notify such indemnifying party shall not relieve such indemnifying party from any liability except to the extent that it has been prejudiced in any material respect by such failure or from any liability that it may have to any such indemnified party otherwise than under Section 8(a) or 8(b) hereof. In case any such action shall be brought against any such indemnified party and it shall notify such indemnifying party of the commencement thereof, such indemnifying party shall be entitled to participate therein and, to the extent that it shall wish, jointly with any other indemnifying party under Section 8(a) or 8(b) hereof similarly notified, to assume the defense thereof, with counsel reasonably satisfactory to such indemnified party (who shall not, except with the consent of such indemnified party, be acting as counsel to such indemnifying party in such matter </w:t>
      </w:r>
      <w:r>
        <w:rPr>
          <w:rFonts w:cs="Tms Rmn" w:ascii="Tms Rmn" w:hAnsi="Tms Rmn"/>
          <w:color w:val="000000"/>
        </w:rPr>
        <w:t>if such indemnified party reasonably objects to such assumption on the ground that there may be legal defenses available to it that are different from or in addition to those available to such indemnifying party</w:t>
      </w:r>
      <w:r>
        <w:rPr/>
        <w:t>), and, after notice from such indemnifying party to such indemnified party of its election so to assume the defense thereof, such indemnifying party shall not be liable to such indemnified party under Section 8(a) or 8(b) hereof for any legal expenses of other counsel or any other expenses, in each case subsequently incurred by such indemnified party, in connection with the defense thereof other than reasonable costs of investigation. If at any time such indemnified party shall have requested such indemnifying party under Section 8(a) or 8(b) hereof to reimburse such indemnified party for fees and expenses of counsel, such indemnifying party agrees that it shall be liable for any settlement of the nature contemplated by Section 8(a) or 8(b) hereof effected without its written consent if (i) such settlement is entered into more than 45 days after receipt by such indemnifying party of such request for reimbursement, (ii) such indemnifying party shall have received notice of the terms of such settlement at least 30 days prior to such settlement being entered into and (iii) such indemnifying party shall not have reimbursed such indemnified party in accordance with such request for reimbursement prior to the date of such settlement. No such indemnifying party shall, without the written consent of such indemnified party, effect the settlement or compromise of, or consent to the entry of any judgment with respect to, any pending or threatened action or claim in respect of which indemnification or contribution may be sought hereunder (whether or not such indemnified party is an actual or potential party to such action or claim) unless such settlement, compromise or judgment (A) includes an unconditional release of such indemnified party from all liability arising out of such action or claim and (B) does not include a statement as to or an admission of fault, culpability or a failure to act, by or on behalf of any such indemnified party. In no event shall such indemnifying parties be liable for the fees and expenses of more than one counsel, including any local counsel, for all such indemnified parties in connection with any one action or separate but similar or related actions in the same jurisdiction arising out of the same general allegations or circumstances.</w:t>
      </w:r>
    </w:p>
    <w:p>
      <w:pPr>
        <w:pStyle w:val="Normal"/>
        <w:spacing w:lineRule="atLeast" w:line="240"/>
        <w:jc w:val="both"/>
        <w:rPr/>
      </w:pPr>
      <w:r>
        <w:rPr/>
      </w:r>
    </w:p>
    <w:p>
      <w:pPr>
        <w:pStyle w:val="Normal"/>
        <w:suppressAutoHyphens w:val="true"/>
        <w:spacing w:before="0" w:after="120"/>
        <w:ind w:firstLine="720" w:end="0"/>
        <w:jc w:val="both"/>
        <w:rPr/>
      </w:pPr>
      <w:r>
        <w:rPr/>
        <w:t>(d)</w:t>
        <w:tab/>
        <w:t xml:space="preserve">If the indemnification provided for in this Section 8 is unavailable to or insufficient to indemnify or hold harmless an indemnified party under Section 8(a) or 8(b) hereof in respect of any losses, damages or liabilities (or actions or claims in respect thereof) referred to therein, then each indemnifying party under Section 8(a) or 8(b) hereof shall contribute to the amount paid or payable by such indemnified party as a result of such losses, damages or liabilities (or actions or claims in respect thereof) in such proportion as is appropriate to reflect the relative benefits received by the Company on the one hand and the Initial Purchaser on the other hand from the offering of the Certificates. If, however, the allocation provided by the immediately preceding sentence is not permitted by applicable law or if such indemnified party failed to give the notice required under Section 8(c) hereof and such indemnifying party was prejudiced in a material respect by such failure, then each such indemnifying party shall contribute to such amount paid or payable by such indemnified party in such proportion as is appropriate to reflect not only such relative benefits but also the relative fault of the Company on the one hand and the Initial Purchaser on the other hand in connection with the statements or omissions that resulted in such losses, damages or liabilities (or actions or claims in respect thereof), as well as any other relevant equitable considerations. The relative benefits received by the Company on the one hand and the Initial Purchaser on the other hand shall be deemed to be in the same proportion as the total net proceeds from such offering (before deducting expenses) received by the Company bear to the total discounts and commissions received by the Initial Purchaser. The relative fault of the Company on the one hand and the Initial Purchaser on the other hand shall be determined by reference to, among other things, whether the untrue or alleged untrue statement of a material fact or the omission or alleged omission to state a material fact relates to information supplied by the Company or the Initial Purchaser and the parties’ relative intent, knowledge, access to information and opportunity to correct or prevent such statement or omission. The Company and the Initial Purchaser agree that it would not be just and equitable if contribution pursuant to this Section 8(d) were determined by </w:t>
      </w:r>
      <w:r>
        <w:rPr>
          <w:i/>
        </w:rPr>
        <w:t xml:space="preserve">pro rata </w:t>
      </w:r>
      <w:r>
        <w:rPr/>
        <w:t xml:space="preserve">allocation or by any other method of allocation that does not take account of the equitable considerations referred to above in this Section 8(d). The amount paid or payable by such an indemnified party as a result of the losses, damages or liabilities (or actions or claims in respect thereof) referred to above in this Section 8(d) shall be deemed to include any legal or other expenses incurred by such indemnified party in connection with investigating or defending any such action or claim. Notwithstanding the provisions of this Section 8(d), the Initial Purchaser shall not be required to contribute any amount in excess of the amount by which the total price at which the Certificates underwritten by it and distributed to the public were offered to the public exceeds the amount of any damages that the Initial Purchaser has otherwise been required to pay by reason of such untrue or alleged untrue statement or omission or alleged omission. No person guilty of fraudulent misrepresentation (within the meaning of Section 11(f) of the Securities Act) shall be entitled to contribution from any person who was not guilty of such fraudulent misrepresentation. </w:t>
      </w:r>
    </w:p>
    <w:p>
      <w:pPr>
        <w:pStyle w:val="Normal"/>
        <w:suppressAutoHyphens w:val="true"/>
        <w:spacing w:before="0" w:after="120"/>
        <w:ind w:firstLine="720" w:end="0"/>
        <w:jc w:val="both"/>
        <w:rPr/>
      </w:pPr>
      <w:r>
        <w:rPr/>
        <w:t>(e)</w:t>
        <w:tab/>
        <w:t>The obligations of the Company under this Section 8 shall be in addition to any liability that the Company may otherwise have and shall extend, upon the same terms and conditions, to each officer, director, employee, agent or other representative of, and to each person, if any, who controls the Initial Purchaser within the meaning of the Exchange Act; and the obligations of the Initial Purchaser under this Section 8 shall be in addition to any liability that the Initial Purchaser may otherwise have and shall extend, upon the same terms and conditions, to each officer and director of the Company and to each person, if any, who controls the Company within the meaning of the Exchange Act.</w:t>
      </w:r>
    </w:p>
    <w:p>
      <w:pPr>
        <w:pStyle w:val="Normal"/>
        <w:spacing w:before="0" w:after="120"/>
        <w:ind w:firstLine="720" w:end="0"/>
        <w:jc w:val="both"/>
        <w:rPr/>
      </w:pPr>
      <w:r>
        <w:rPr/>
        <w:t>(f)</w:t>
        <w:tab/>
        <w:t xml:space="preserve">The Initial Purchaser confirms that the statements in the Preliminary Offering Circular and the Offering Circular with respect to (i) the delivery of the Certificates set forth in the last paragraph on the cover page, (ii) transactions that stabilize, maintain or otherwise affect the price of the Certificates set forth in the penultimate paragraph under “Plan of Distribution” and (iii) the offer and resale of the Certificates set forth in the third paragraph under the table in “Plan of Distribution” (such statements, collectively, the “Initial Purchaser Information”) are correct as to the Initial Purchaser and were furnished in writing to the Company by the Initial Purchaser expressly for use in the Preliminary Offering Circular and the Offering Circular. </w:t>
      </w:r>
    </w:p>
    <w:p>
      <w:pPr>
        <w:pStyle w:val="Heading1"/>
        <w:numPr>
          <w:ilvl w:val="0"/>
          <w:numId w:val="4"/>
        </w:numPr>
        <w:spacing w:before="120" w:after="120"/>
        <w:ind w:hanging="0" w:start="0"/>
        <w:rPr/>
      </w:pPr>
      <w:r>
        <w:rPr/>
        <w:t>This Agreement may be terminated at any time prior to the Time of Purchase by the Initial Purchaser if, after the execution and delivery of this Agreement and prior to the Time of Purchase, in the Initial Purchaser’s reasonable judgment, the Initial Purchaser’s ability to deliver or market the Certificates shall have been rendered impracticable or inadvisable because:</w:t>
      </w:r>
    </w:p>
    <w:p>
      <w:pPr>
        <w:pStyle w:val="Heading2"/>
        <w:numPr>
          <w:ilvl w:val="1"/>
          <w:numId w:val="4"/>
        </w:numPr>
        <w:spacing w:before="0" w:after="120"/>
        <w:ind w:firstLine="720" w:start="720" w:end="0"/>
        <w:rPr/>
      </w:pPr>
      <w:r>
        <w:rPr/>
        <w:t>trading in securities generally on the New York Stock Exchange or the London Stock Exchange shall have been suspended or materially limited (which shall not be construed to have included temporary trading curbs imposed during periods of actual trading) or minimum prices in any such exchange shall have been established;</w:t>
      </w:r>
    </w:p>
    <w:p>
      <w:pPr>
        <w:pStyle w:val="Heading2"/>
        <w:numPr>
          <w:ilvl w:val="1"/>
          <w:numId w:val="4"/>
        </w:numPr>
        <w:spacing w:before="0" w:after="120"/>
        <w:ind w:firstLine="720" w:start="720" w:end="0"/>
        <w:rPr/>
      </w:pPr>
      <w:r>
        <w:rPr/>
        <w:t>trading in the Company’s securities on the New York Stock Exchange shall have been suspended or materially limited;</w:t>
      </w:r>
    </w:p>
    <w:p>
      <w:pPr>
        <w:pStyle w:val="Heading2"/>
        <w:numPr>
          <w:ilvl w:val="1"/>
          <w:numId w:val="4"/>
        </w:numPr>
        <w:spacing w:before="0" w:after="120"/>
        <w:ind w:firstLine="720" w:start="720" w:end="0"/>
        <w:rPr/>
      </w:pPr>
      <w:r>
        <w:rPr/>
        <w:t>a general moratorium on commercial banking activities shall have been declared by Federal, New York or United Kingdom authorities;</w:t>
      </w:r>
    </w:p>
    <w:p>
      <w:pPr>
        <w:pStyle w:val="Heading2"/>
        <w:numPr>
          <w:ilvl w:val="1"/>
          <w:numId w:val="4"/>
        </w:numPr>
        <w:spacing w:before="0" w:after="120"/>
        <w:ind w:firstLine="720" w:start="720" w:end="0"/>
        <w:rPr/>
      </w:pPr>
      <w:r>
        <w:rPr/>
        <w:t>an outbreak or escalation of hostilities involving the United States or the United Kingdom shall have occurred or a national emergency involving hostilities between or among the United States or the United Kingdom and any other nation and or war by the United States or the United Kingdom shall have been declared;</w:t>
      </w:r>
    </w:p>
    <w:p>
      <w:pPr>
        <w:pStyle w:val="Heading2"/>
        <w:numPr>
          <w:ilvl w:val="1"/>
          <w:numId w:val="4"/>
        </w:numPr>
        <w:spacing w:before="0" w:after="120"/>
        <w:ind w:firstLine="720" w:start="720" w:end="0"/>
        <w:rPr/>
      </w:pPr>
      <w:r>
        <w:rPr/>
        <w:t>a material disruption of the United States Treasury Bond or corporate bond markets or the United Kingdom Gilt or corporate bond markets, or the trading and settlement systems for any such markets, shall have occurred; or</w:t>
      </w:r>
    </w:p>
    <w:p>
      <w:pPr>
        <w:pStyle w:val="Heading2"/>
        <w:numPr>
          <w:ilvl w:val="1"/>
          <w:numId w:val="4"/>
        </w:numPr>
        <w:spacing w:before="0" w:after="120"/>
        <w:ind w:firstLine="720" w:start="720" w:end="0"/>
        <w:rPr/>
      </w:pPr>
      <w:r>
        <w:rPr/>
        <w:t>any change in national or international financial, political or economic conditions or currency exchange rates or exchange controls shall have occurred that in the reasonable judgement of the Initial Purchaser would materially and adversely affect any resale of the Notes or dealing in the Notes in the secondary market.</w:t>
      </w:r>
    </w:p>
    <w:p>
      <w:pPr>
        <w:pStyle w:val="BodyTextFirstIndent"/>
        <w:spacing w:before="0" w:after="120"/>
        <w:rPr/>
      </w:pPr>
      <w:r>
        <w:rPr/>
        <w:t>If the Initial Purchaser elects to terminate this Agreement, as provided in this Section 9, the Initial Purchaser will promptly notify the Company by telephone or by telex or facsimile transmission, confirmed in writing. If this Agreement shall not be carried out by the Initial Purchaser for any reason permitted hereunder, or if the sale of the Certificates to the Initial Purchaser as herein contemplated shall not be carried out because the Company is not able to comply with the terms hereof, the Company shall not be under any obligation under this Agreement and shall not be liable to the Initial Purchaser or to any member of any selling group for the loss of anticipated profits from the transactions contemplated by this Agreement (except to the extent, if any, provided in Section 6(b), 6(c) or 8 hereof) and the Initial Purchaser shall be under no liability to the Company.</w:t>
      </w:r>
    </w:p>
    <w:p>
      <w:pPr>
        <w:pStyle w:val="Heading1"/>
        <w:numPr>
          <w:ilvl w:val="0"/>
          <w:numId w:val="4"/>
        </w:numPr>
        <w:spacing w:before="120" w:after="120"/>
        <w:ind w:hanging="0" w:start="0"/>
        <w:rPr/>
      </w:pPr>
      <w:r>
        <w:rPr/>
        <w:t>All statements, requests, notices and agreements hereunder shall be in writing, and if to the Initial Purchaser shall be delivered or sent by mail, telex or facsimile transmission: if to the Initial Purchaser, to UBS Warburg LLC at 677 Washington Boulevard, Stamford, Connecticut 06971, Attention: _____; if to the Company to Enron Corp., 1400 Smith Street, Houston, Texas 77002-7369 Attention: _____; and if to the Trust, to The Bank of New York at 101 Barclay Street, Floor 21 West, New York, New York 10286, Attention: Thomas E. Tabor. Any such statements, requests, notices or agreements shall take effect upon receipt thereof.</w:t>
      </w:r>
    </w:p>
    <w:p>
      <w:pPr>
        <w:pStyle w:val="Heading1"/>
        <w:numPr>
          <w:ilvl w:val="0"/>
          <w:numId w:val="4"/>
        </w:numPr>
        <w:spacing w:before="120" w:after="120"/>
        <w:ind w:hanging="0" w:start="0"/>
        <w:rPr/>
      </w:pPr>
      <w:r>
        <w:rPr/>
        <w:t>This Agreement has been and is made solely for the benefit of the Initial Purchaser, the Pass-Through Trustee, the Company, the controlling persons, if any, referred to in Section 8 hereof, and their respective successors, assigns, executors and administrators, and no other person shall acquire or have any right under or by virtue of this Agreement.</w:t>
      </w:r>
    </w:p>
    <w:p>
      <w:pPr>
        <w:pStyle w:val="Heading1"/>
        <w:numPr>
          <w:ilvl w:val="0"/>
          <w:numId w:val="4"/>
        </w:numPr>
        <w:spacing w:before="120" w:after="120"/>
        <w:ind w:hanging="0" w:start="0"/>
        <w:rPr/>
      </w:pPr>
      <w:r>
        <w:rPr/>
        <w:t>The obligations of the Company and the Trust hereunder are subject to the Initial Purchaser’s performance of its obligations hereunder. The obligations of the Company are subject to the Trust’s performance of its obligations hereunder and to the delivery at the Time of Purchase of the Swap and Option Contracts by the Bank.</w:t>
      </w:r>
    </w:p>
    <w:p>
      <w:pPr>
        <w:pStyle w:val="Heading1"/>
        <w:numPr>
          <w:ilvl w:val="0"/>
          <w:numId w:val="4"/>
        </w:numPr>
        <w:spacing w:before="120" w:after="120"/>
        <w:ind w:hanging="0" w:start="0"/>
        <w:rPr/>
      </w:pPr>
      <w:r>
        <w:rPr/>
        <w:t>This Agreement will be governed and construed in accordance with the law of the State of New York. The term “successors” as used in this Agreement shall not include any purchaser, as such purchaser, of any of the Certificates from the Initial Purchaser.</w:t>
      </w:r>
    </w:p>
    <w:p>
      <w:pPr>
        <w:pStyle w:val="Heading1"/>
        <w:numPr>
          <w:ilvl w:val="0"/>
          <w:numId w:val="4"/>
        </w:numPr>
        <w:spacing w:before="120" w:after="120"/>
        <w:ind w:hanging="0" w:start="0"/>
        <w:rPr/>
      </w:pPr>
      <w:r>
        <w:rPr/>
        <w:t>(a)</w:t>
        <w:tab/>
        <w:t>The Company and the Initial Purchaser irrevocably consent and agree that any civil legal action, suit or proceeding against them with respect to their obligations, liabilities or any other matter arising out of or in connection with this Agreement may be brought in the Commercial Division, Civil Branch of the Supreme Court of New York, New York County or the United States District Court for the Southern District of New York and any appellate court from either thereof and, until amounts due and to become due in respect of the Certificates have been paid, hereby irrevocably consent and submit to the exclusive jurisdiction of each such court in personam, generally and unconditionally with respect to any civil action, suit or proceeding for themselves and in respect of their properties, assets and revenues.</w:t>
      </w:r>
    </w:p>
    <w:p>
      <w:pPr>
        <w:pStyle w:val="Normal"/>
        <w:rPr/>
      </w:pPr>
      <w:r>
        <w:rPr/>
      </w:r>
    </w:p>
    <w:p>
      <w:pPr>
        <w:pStyle w:val="Normal"/>
        <w:spacing w:before="0" w:after="120"/>
        <w:jc w:val="both"/>
        <w:rPr/>
      </w:pPr>
      <w:r>
        <w:rPr/>
        <w:tab/>
        <w:t>(b)</w:t>
        <w:tab/>
        <w:t>Each of the Company and the Initial Purchaser irrevocably and unconditionally waives, to the fullest extent permitted by law, any objection which it may now or hereafter have to the laying of venue of any of the actions, suits or proceedings referred to in Section 14(a) hereof, arising out of or in connection with this Agreement brought in the Commercial Division, Civil Branch of the Supreme Court of New York, New York County or the United States District Court for the Southern District of New York and any appellate court from either thereof and hereby further irrevocably and unconditionally waives and agrees not to plead or claim in any such court that any such action, suit or proceeding brought in any such court has been brought in an inconvenient forum.</w:t>
        <w:tab/>
      </w:r>
    </w:p>
    <w:p>
      <w:pPr>
        <w:pStyle w:val="Heading1"/>
        <w:numPr>
          <w:ilvl w:val="0"/>
          <w:numId w:val="4"/>
        </w:numPr>
        <w:spacing w:before="120" w:after="120"/>
        <w:ind w:hanging="0" w:start="0"/>
        <w:rPr/>
      </w:pPr>
      <w:r>
        <w:rPr/>
        <w:t>This Agreement may be executed in several counterparts, each of which shall be regarded as an original and all of which shall constitute one and the same document.</w:t>
      </w:r>
    </w:p>
    <w:p>
      <w:pPr>
        <w:pStyle w:val="Heading1"/>
        <w:numPr>
          <w:ilvl w:val="0"/>
          <w:numId w:val="4"/>
        </w:numPr>
        <w:spacing w:before="120" w:after="120"/>
        <w:ind w:hanging="0" w:start="0"/>
        <w:rPr/>
      </w:pPr>
      <w:r>
        <w:rPr/>
        <w:t>The respective indemnities, agreements, representations, warranties and other statements of the Company and the Initial Purchaser, as set forth in this Agreement or made by or on behalf of them, respectively, pursuant to this Agreement, shall remain in full force and effect, regardless of any investigation (or any statement as to the results thereof) made by or on behalf of the Initial Purchaser, any officer, director, employee, agent or other representative of the Initial Purchaser or any controlling person of the Initial Purchaser, or the Company, any officer or director of the Company or any controlling person of the Company, as the case may be, and shall survive delivery of and payment for the Certificates.</w:t>
      </w:r>
      <w:r>
        <w:br w:type="page"/>
      </w:r>
    </w:p>
    <w:p>
      <w:pPr>
        <w:pStyle w:val="BodyTextFirstIndent"/>
        <w:spacing w:before="0" w:after="120"/>
        <w:rPr/>
      </w:pPr>
      <w:r>
        <w:rPr/>
        <w:t>If the foregoing is in accordance with your understanding of our agreement, please sign and return to the Company a counterpart hereof, whereupon this letter agreement will become a binding agreement among the Company, the Trust and the Initial Purchaser in accordance with its terms.</w:t>
      </w:r>
    </w:p>
    <w:p>
      <w:pPr>
        <w:pStyle w:val="BodyText"/>
        <w:spacing w:before="0" w:after="0"/>
        <w:ind w:start="4320" w:end="0"/>
        <w:rPr/>
      </w:pPr>
      <w:r>
        <w:rPr/>
        <w:t>Very truly yours,</w:t>
      </w:r>
    </w:p>
    <w:p>
      <w:pPr>
        <w:pStyle w:val="BodyText"/>
        <w:spacing w:before="0" w:after="0"/>
        <w:ind w:start="4320" w:end="0"/>
        <w:rPr/>
      </w:pPr>
      <w:r>
        <w:rPr/>
      </w:r>
    </w:p>
    <w:p>
      <w:pPr>
        <w:pStyle w:val="BodyText"/>
        <w:spacing w:before="0" w:after="0"/>
        <w:ind w:start="4320" w:end="0"/>
        <w:rPr/>
      </w:pPr>
      <w:r>
        <w:rPr/>
        <w:t>Enron Corp.</w:t>
        <w:br/>
      </w:r>
    </w:p>
    <w:p>
      <w:pPr>
        <w:pStyle w:val="BodyText"/>
        <w:spacing w:before="0" w:after="0"/>
        <w:ind w:start="4320" w:end="0"/>
        <w:rPr/>
      </w:pPr>
      <w:r>
        <w:rPr/>
      </w:r>
    </w:p>
    <w:p>
      <w:pPr>
        <w:pStyle w:val="Normal"/>
        <w:keepLines/>
        <w:tabs>
          <w:tab w:val="clear" w:pos="720"/>
          <w:tab w:val="left" w:pos="4680" w:leader="none"/>
        </w:tabs>
        <w:ind w:start="4320" w:end="0"/>
        <w:rPr/>
      </w:pPr>
      <w:r>
        <w:rPr/>
        <w:t>By: _____________________________</w:t>
      </w:r>
      <w:r>
        <w:rPr>
          <w:u w:val="single"/>
        </w:rPr>
        <w:t xml:space="preserve"> </w:t>
      </w:r>
      <w:r>
        <w:rPr/>
        <w:br/>
        <w:tab/>
        <w:t>Name:</w:t>
        <w:br/>
        <w:tab/>
        <w:t>Title:</w:t>
      </w:r>
    </w:p>
    <w:p>
      <w:pPr>
        <w:pStyle w:val="Normal"/>
        <w:keepLines/>
        <w:ind w:start="4320" w:end="0"/>
        <w:rPr/>
      </w:pPr>
      <w:r>
        <w:rPr/>
      </w:r>
    </w:p>
    <w:p>
      <w:pPr>
        <w:pStyle w:val="Normal"/>
        <w:keepLines/>
        <w:ind w:start="4320" w:end="0"/>
        <w:rPr/>
      </w:pPr>
      <w:r>
        <w:rPr/>
        <w:t>Enron Pass-Through Asset Trust 2000-1</w:t>
      </w:r>
    </w:p>
    <w:p>
      <w:pPr>
        <w:pStyle w:val="Normal"/>
        <w:keepLines/>
        <w:ind w:start="4320" w:end="0"/>
        <w:rPr/>
      </w:pPr>
      <w:r>
        <w:rPr/>
        <w:t>By: The Bank of New York, not in its individual capacity but solely as Trustee</w:t>
      </w:r>
    </w:p>
    <w:p>
      <w:pPr>
        <w:pStyle w:val="Normal"/>
        <w:keepLines/>
        <w:tabs>
          <w:tab w:val="clear" w:pos="720"/>
          <w:tab w:val="left" w:pos="4680" w:leader="none"/>
        </w:tabs>
        <w:ind w:start="4320" w:end="0"/>
        <w:rPr/>
      </w:pPr>
      <w:r>
        <w:rPr/>
        <w:br/>
      </w:r>
    </w:p>
    <w:p>
      <w:pPr>
        <w:pStyle w:val="Normal"/>
        <w:keepLines/>
        <w:tabs>
          <w:tab w:val="clear" w:pos="720"/>
          <w:tab w:val="left" w:pos="4680" w:leader="none"/>
        </w:tabs>
        <w:ind w:start="4320" w:end="0"/>
        <w:rPr/>
      </w:pPr>
      <w:r>
        <w:rPr/>
        <w:t>By: _____________________________</w:t>
      </w:r>
      <w:r>
        <w:rPr>
          <w:u w:val="single"/>
        </w:rPr>
        <w:t xml:space="preserve"> </w:t>
      </w:r>
      <w:r>
        <w:rPr/>
        <w:br/>
        <w:tab/>
        <w:t>Name:</w:t>
        <w:br/>
        <w:tab/>
        <w:t>Title:</w:t>
      </w:r>
    </w:p>
    <w:p>
      <w:pPr>
        <w:pStyle w:val="BodyText"/>
        <w:widowControl w:val="false"/>
        <w:spacing w:before="0" w:after="0"/>
        <w:rPr/>
      </w:pPr>
      <w:r>
        <w:rPr/>
      </w:r>
    </w:p>
    <w:p>
      <w:pPr>
        <w:pStyle w:val="BodyText"/>
        <w:widowControl w:val="false"/>
        <w:spacing w:before="0" w:after="0"/>
        <w:rPr/>
      </w:pPr>
      <w:r>
        <w:rPr/>
      </w:r>
    </w:p>
    <w:p>
      <w:pPr>
        <w:pStyle w:val="BodyText"/>
        <w:widowControl w:val="false"/>
        <w:spacing w:before="0" w:after="0"/>
        <w:rPr/>
      </w:pPr>
      <w:r>
        <w:rPr/>
      </w:r>
    </w:p>
    <w:p>
      <w:pPr>
        <w:pStyle w:val="BodyText"/>
        <w:widowControl w:val="false"/>
        <w:spacing w:before="0" w:after="0"/>
        <w:rPr/>
      </w:pPr>
      <w:r>
        <w:rPr/>
      </w:r>
    </w:p>
    <w:p>
      <w:pPr>
        <w:pStyle w:val="BodyText"/>
        <w:widowControl w:val="false"/>
        <w:spacing w:before="0" w:after="0"/>
        <w:rPr/>
      </w:pPr>
      <w:r>
        <w:rPr/>
      </w:r>
    </w:p>
    <w:p>
      <w:pPr>
        <w:pStyle w:val="BodyText"/>
        <w:widowControl w:val="false"/>
        <w:spacing w:before="0" w:after="0"/>
        <w:rPr/>
      </w:pPr>
      <w:r>
        <w:rPr/>
      </w:r>
    </w:p>
    <w:p>
      <w:pPr>
        <w:pStyle w:val="BodyText"/>
        <w:widowControl w:val="false"/>
        <w:spacing w:before="0" w:after="0"/>
        <w:rPr/>
      </w:pPr>
      <w:r>
        <w:rPr/>
      </w:r>
    </w:p>
    <w:p>
      <w:pPr>
        <w:pStyle w:val="BodyText"/>
        <w:widowControl w:val="false"/>
        <w:spacing w:before="0" w:after="0"/>
        <w:rPr/>
      </w:pPr>
      <w:r>
        <w:rPr/>
        <w:t>Accepted as of the date hereof:</w:t>
      </w:r>
    </w:p>
    <w:p>
      <w:pPr>
        <w:pStyle w:val="BodyText"/>
        <w:spacing w:before="0" w:after="0"/>
        <w:rPr/>
      </w:pPr>
      <w:r>
        <w:rPr/>
        <w:t>UBS Warburg LLC</w:t>
      </w:r>
    </w:p>
    <w:p>
      <w:pPr>
        <w:pStyle w:val="BodyText"/>
        <w:spacing w:before="0" w:after="0"/>
        <w:rPr/>
      </w:pPr>
      <w:r>
        <w:rPr/>
      </w:r>
    </w:p>
    <w:p>
      <w:pPr>
        <w:pStyle w:val="BodyText"/>
        <w:spacing w:before="0" w:after="0"/>
        <w:rPr/>
      </w:pPr>
      <w:r>
        <w:rPr/>
      </w:r>
    </w:p>
    <w:p>
      <w:pPr>
        <w:pStyle w:val="Normal"/>
        <w:rPr/>
      </w:pPr>
      <w:r>
        <w:rPr/>
        <w:t>By: ____________________________</w:t>
      </w:r>
    </w:p>
    <w:p>
      <w:pPr>
        <w:pStyle w:val="Normal"/>
        <w:ind w:start="360" w:end="0"/>
        <w:rPr/>
      </w:pPr>
      <w:r>
        <w:rPr/>
        <w:t>Name:</w:t>
      </w:r>
    </w:p>
    <w:p>
      <w:pPr>
        <w:pStyle w:val="BodyText"/>
        <w:spacing w:before="0" w:after="0"/>
        <w:ind w:start="360" w:end="0"/>
        <w:rPr/>
      </w:pPr>
      <w:r>
        <w:rPr/>
        <w:t>Title:</w:t>
      </w:r>
    </w:p>
    <w:p>
      <w:pPr>
        <w:pStyle w:val="Normal"/>
        <w:rPr/>
      </w:pPr>
      <w:r>
        <w:rPr/>
      </w:r>
    </w:p>
    <w:p>
      <w:pPr>
        <w:pStyle w:val="Normal"/>
        <w:rPr/>
      </w:pPr>
      <w:r>
        <w:rPr/>
      </w:r>
    </w:p>
    <w:p>
      <w:pPr>
        <w:pStyle w:val="Normal"/>
        <w:rPr/>
      </w:pPr>
      <w:r>
        <w:rPr/>
        <w:t>By: ____________________________</w:t>
      </w:r>
    </w:p>
    <w:p>
      <w:pPr>
        <w:pStyle w:val="Normal"/>
        <w:ind w:start="360" w:end="0"/>
        <w:rPr/>
      </w:pPr>
      <w:r>
        <w:rPr/>
        <w:t>Name:</w:t>
      </w:r>
    </w:p>
    <w:p>
      <w:pPr>
        <w:pStyle w:val="BodyText"/>
        <w:spacing w:before="0" w:after="0"/>
        <w:ind w:start="360" w:end="0"/>
        <w:rPr/>
      </w:pPr>
      <w:r>
        <w:rPr/>
        <w:t>Title:</w:t>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sz w:val="20"/>
      </w:rPr>
    </w:pPr>
    <w:r>
      <w:rPr>
        <w:sz w:val="20"/>
      </w:rPr>
      <w:fldChar w:fldCharType="begin"/>
    </w:r>
    <w:r>
      <w:rPr>
        <w:sz w:val="20"/>
      </w:rPr>
      <w:instrText xml:space="preserve"> PAGE </w:instrText>
    </w:r>
    <w:r>
      <w:rPr>
        <w:sz w:val="20"/>
      </w:rPr>
      <w:fldChar w:fldCharType="separate"/>
    </w:r>
    <w:r>
      <w:rPr>
        <w:sz w:val="20"/>
      </w:rPr>
      <w:t>18</w:t>
    </w:r>
    <w:r>
      <w:rPr>
        <w:sz w:val="20"/>
      </w:rPr>
      <w:fldChar w:fldCharType="end"/>
    </w:r>
  </w:p>
  <w:p>
    <w:pPr>
      <w:pStyle w:val="DocID"/>
      <w:rPr/>
    </w:pPr>
    <w:r>
      <w:rPr/>
      <w:t>63236139.03</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WSPR</w:t>
    </w:r>
  </w:p>
  <w:p>
    <w:pPr>
      <w:pStyle w:val="Header"/>
      <w:jc w:val="end"/>
      <w:rPr>
        <w:sz w:val="20"/>
      </w:rPr>
    </w:pPr>
    <w:r>
      <w:rPr>
        <w:sz w:val="20"/>
      </w:rPr>
      <w:t>DRAFT</w:t>
    </w:r>
  </w:p>
  <w:p>
    <w:pPr>
      <w:pStyle w:val="Header"/>
      <w:jc w:val="end"/>
      <w:rPr>
        <w:sz w:val="20"/>
      </w:rPr>
    </w:pPr>
    <w:r>
      <w:rPr>
        <w:sz w:val="20"/>
      </w:rPr>
      <w:t>6/9//00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isLgl/>
      <w:numFmt w:val="decimal"/>
      <w:lvlText w:val="section %1."/>
      <w:lvlJc w:val="start"/>
      <w:pPr>
        <w:tabs>
          <w:tab w:val="num" w:pos="2880"/>
        </w:tabs>
        <w:ind w:start="0" w:firstLine="1440"/>
      </w:pPr>
      <w:rPr>
        <w:caps/>
        <w:sz w:val="24"/>
        <w:i w:val="false"/>
        <w:u w:val="none"/>
        <w:b w:val="false"/>
        <w:rFonts w:ascii="Times New Roman" w:hAnsi="Times New Roman" w:cs="Times New Roman"/>
      </w:rPr>
    </w:lvl>
    <w:lvl w:ilvl="1">
      <w:start w:val="1"/>
      <w:numFmt w:val="lowerLetter"/>
      <w:lvlText w:val="(%2)"/>
      <w:lvlJc w:val="start"/>
      <w:pPr>
        <w:tabs>
          <w:tab w:val="num" w:pos="1800"/>
        </w:tabs>
        <w:ind w:start="720" w:firstLine="720"/>
      </w:pPr>
    </w:lvl>
    <w:lvl w:ilvl="2">
      <w:start w:val="1"/>
      <w:numFmt w:val="decimal"/>
      <w:lvlText w:val="(%3)"/>
      <w:lvlJc w:val="start"/>
      <w:pPr>
        <w:tabs>
          <w:tab w:val="num" w:pos="1800"/>
        </w:tabs>
        <w:ind w:start="0" w:firstLine="1440"/>
      </w:pPr>
    </w:lvl>
    <w:lvl w:ilvl="3">
      <w:start w:val="1"/>
      <w:numFmt w:val="decimal"/>
      <w:lvlText w:val="%1.%2.%3.%4"/>
      <w:lvlJc w:val="start"/>
      <w:pPr>
        <w:tabs>
          <w:tab w:val="num" w:pos="864"/>
        </w:tabs>
        <w:ind w:start="864" w:hanging="864"/>
      </w:pPr>
    </w:lvl>
    <w:lvl w:ilvl="4">
      <w:start w:val="1"/>
      <w:numFmt w:val="decimal"/>
      <w:lvlText w:val="%1.%2.%3.%4.%5"/>
      <w:lvlJc w:val="start"/>
      <w:pPr>
        <w:tabs>
          <w:tab w:val="num" w:pos="1008"/>
        </w:tabs>
        <w:ind w:start="1008" w:hanging="1008"/>
      </w:pPr>
    </w:lvl>
    <w:lvl w:ilvl="5">
      <w:start w:val="1"/>
      <w:pStyle w:val="Heading6"/>
      <w:numFmt w:val="decimal"/>
      <w:lvlText w:val="%1.%2.%3.%4.%5.%6"/>
      <w:lvlJc w:val="start"/>
      <w:pPr>
        <w:tabs>
          <w:tab w:val="num" w:pos="1152"/>
        </w:tabs>
        <w:ind w:start="1152" w:hanging="1152"/>
      </w:pPr>
    </w:lvl>
    <w:lvl w:ilvl="6">
      <w:start w:val="1"/>
      <w:pStyle w:val="Heading7"/>
      <w:numFmt w:val="decimal"/>
      <w:lvlText w:val="%1.%2.%3.%4.%5.%6.%7"/>
      <w:lvlJc w:val="start"/>
      <w:pPr>
        <w:tabs>
          <w:tab w:val="num" w:pos="1296"/>
        </w:tabs>
        <w:ind w:start="1296" w:hanging="1296"/>
      </w:pPr>
    </w:lvl>
    <w:lvl w:ilvl="7">
      <w:start w:val="1"/>
      <w:pStyle w:val="Heading8"/>
      <w:numFmt w:val="decimal"/>
      <w:lvlText w:val="%1.%2.%3.%4.%5.%6.%7.%8"/>
      <w:lvlJc w:val="start"/>
      <w:pPr>
        <w:tabs>
          <w:tab w:val="num" w:pos="1440"/>
        </w:tabs>
        <w:ind w:start="1440" w:hanging="1440"/>
      </w:pPr>
    </w:lvl>
    <w:lvl w:ilvl="8">
      <w:start w:val="1"/>
      <w:pStyle w:val="Heading9"/>
      <w:numFmt w:val="decimal"/>
      <w:lvlText w:val="%1.%2.%3.%4.%5.%6.%7.%8.%9"/>
      <w:lvlJc w:val="start"/>
      <w:pPr>
        <w:tabs>
          <w:tab w:val="num" w:pos="1584"/>
        </w:tabs>
        <w:ind w:start="1584" w:hanging="1584"/>
      </w:pPr>
    </w:lvl>
  </w:abstractNum>
  <w:abstractNum w:abstractNumId="2">
    <w:lvl w:ilvl="0">
      <w:start w:val="1"/>
      <w:numFmt w:val="decimal"/>
      <w:lvlText w:val="(%1)"/>
      <w:lvlJc w:val="start"/>
      <w:pPr>
        <w:tabs>
          <w:tab w:val="num" w:pos="1800"/>
        </w:tabs>
        <w:ind w:start="720" w:firstLine="720"/>
      </w:pPr>
      <w:rPr>
        <w:sz w:val="24"/>
        <w:i w:val="false"/>
        <w:u w:val="none"/>
        <w:b w:val="false"/>
        <w:rFonts w:ascii="Times New Roman" w:hAnsi="Times New Roman" w:cs="Times New Roman"/>
        <w:color w:val="auto"/>
      </w:rPr>
    </w:lvl>
  </w:abstractNum>
  <w:abstractNum w:abstractNumId="3">
    <w:lvl w:ilvl="0">
      <w:start w:val="3"/>
      <w:numFmt w:val="lowerLetter"/>
      <w:lvlText w:val="(%1)"/>
      <w:lvlJc w:val="start"/>
      <w:pPr>
        <w:tabs>
          <w:tab w:val="num" w:pos="1440"/>
        </w:tabs>
        <w:ind w:start="1440" w:hanging="720"/>
      </w:pPr>
      <w:rPr/>
    </w:lvl>
  </w:abstractNum>
  <w:abstractNum w:abstractNumId="4">
    <w:lvl w:ilvl="0">
      <w:start w:val="1"/>
      <w:numFmt w:val="decimal"/>
      <w:lvlText w:val="%1.   "/>
      <w:lvlJc w:val="start"/>
      <w:pPr>
        <w:tabs>
          <w:tab w:val="num" w:pos="1080"/>
        </w:tabs>
        <w:ind w:start="0" w:firstLine="720"/>
      </w:pPr>
      <w:rPr>
        <w:caps/>
      </w:rPr>
    </w:lvl>
    <w:lvl w:ilvl="1">
      <w:start w:val="1"/>
      <w:numFmt w:val="lowerLetter"/>
      <w:lvlText w:val="(%2)   "/>
      <w:lvlJc w:val="start"/>
      <w:pPr>
        <w:tabs>
          <w:tab w:val="num" w:pos="1440"/>
        </w:tabs>
        <w:ind w:start="1440" w:hanging="720"/>
      </w:pPr>
    </w:lvl>
    <w:lvl w:ilvl="2">
      <w:start w:val="1"/>
      <w:numFmt w:val="lowerRoman"/>
      <w:lvlText w:val="(%3)"/>
      <w:lvlJc w:val="start"/>
      <w:pPr>
        <w:tabs>
          <w:tab w:val="num" w:pos="2160"/>
        </w:tabs>
        <w:ind w:start="2160" w:hanging="720"/>
      </w:pPr>
    </w:lvl>
    <w:lvl w:ilvl="3">
      <w:start w:val="1"/>
      <w:numFmt w:val="lowerRoman"/>
      <w:lvlText w:val="(%4)    "/>
      <w:lvlJc w:val="start"/>
      <w:pPr>
        <w:tabs>
          <w:tab w:val="num" w:pos="1800"/>
        </w:tabs>
        <w:ind w:start="720" w:hanging="0"/>
      </w:pPr>
    </w:lvl>
    <w:lvl w:ilvl="4">
      <w:start w:val="1"/>
      <w:numFmt w:val="lowerLetter"/>
      <w:lvlText w:val="(%5)"/>
      <w:lvlJc w:val="start"/>
      <w:pPr>
        <w:tabs>
          <w:tab w:val="num" w:pos="1440"/>
        </w:tabs>
        <w:ind w:start="1440" w:hanging="720"/>
      </w:pPr>
    </w:lvl>
    <w:lvl w:ilvl="5">
      <w:start w:val="1"/>
      <w:numFmt w:val="lowerLetter"/>
      <w:lvlText w:val="%6)"/>
      <w:lvlJc w:val="start"/>
      <w:pPr>
        <w:tabs>
          <w:tab w:val="num" w:pos="1152"/>
        </w:tabs>
        <w:ind w:start="1152" w:hanging="432"/>
      </w:pPr>
    </w:lvl>
    <w:lvl w:ilvl="6">
      <w:start w:val="1"/>
      <w:numFmt w:val="lowerRoman"/>
      <w:lvlText w:val="%7)"/>
      <w:lvlJc w:val="end"/>
      <w:pPr>
        <w:tabs>
          <w:tab w:val="num" w:pos="1296"/>
        </w:tabs>
        <w:ind w:start="1296" w:hanging="288"/>
      </w:pPr>
    </w:lvl>
    <w:lvl w:ilvl="7">
      <w:start w:val="1"/>
      <w:numFmt w:val="lowerLetter"/>
      <w:lvlText w:val="%8."/>
      <w:lvlJc w:val="start"/>
      <w:pPr>
        <w:tabs>
          <w:tab w:val="num" w:pos="1440"/>
        </w:tabs>
        <w:ind w:start="1440" w:hanging="432"/>
      </w:pPr>
    </w:lvl>
    <w:lvl w:ilvl="8">
      <w:start w:val="1"/>
      <w:numFmt w:val="lowerRoman"/>
      <w:lvlText w:val="%9."/>
      <w:lvlJc w:val="end"/>
      <w:pPr>
        <w:tabs>
          <w:tab w:val="num" w:pos="1584"/>
        </w:tabs>
        <w:ind w:start="1584" w:hanging="144"/>
      </w:pPr>
    </w:lvl>
  </w:abstractNum>
  <w:abstractNum w:abstractNumId="5">
    <w:lvl w:ilvl="0">
      <w:start w:val="1"/>
      <w:numFmt w:val="decimal"/>
      <w:lvlText w:val="%1.   "/>
      <w:lvlJc w:val="start"/>
      <w:pPr>
        <w:tabs>
          <w:tab w:val="num" w:pos="1080"/>
        </w:tabs>
        <w:ind w:start="0" w:firstLine="720"/>
      </w:pPr>
      <w:rPr>
        <w:caps/>
      </w:rPr>
    </w:lvl>
    <w:lvl w:ilvl="1">
      <w:start w:val="1"/>
      <w:numFmt w:val="lowerLetter"/>
      <w:lvlText w:val="(%2)   "/>
      <w:lvlJc w:val="start"/>
      <w:pPr>
        <w:tabs>
          <w:tab w:val="num" w:pos="1440"/>
        </w:tabs>
        <w:ind w:start="1440" w:hanging="720"/>
      </w:pPr>
    </w:lvl>
    <w:lvl w:ilvl="2">
      <w:start w:val="1"/>
      <w:numFmt w:val="lowerRoman"/>
      <w:lvlText w:val="(%3)"/>
      <w:lvlJc w:val="start"/>
      <w:pPr>
        <w:tabs>
          <w:tab w:val="num" w:pos="2160"/>
        </w:tabs>
        <w:ind w:start="2160" w:hanging="720"/>
      </w:pPr>
    </w:lvl>
    <w:lvl w:ilvl="3">
      <w:start w:val="1"/>
      <w:numFmt w:val="lowerRoman"/>
      <w:lvlText w:val="(%4)    "/>
      <w:lvlJc w:val="start"/>
      <w:pPr>
        <w:tabs>
          <w:tab w:val="num" w:pos="1800"/>
        </w:tabs>
        <w:ind w:start="720" w:hanging="0"/>
      </w:pPr>
    </w:lvl>
    <w:lvl w:ilvl="4">
      <w:start w:val="1"/>
      <w:numFmt w:val="lowerLetter"/>
      <w:lvlText w:val="(%5)"/>
      <w:lvlJc w:val="start"/>
      <w:pPr>
        <w:tabs>
          <w:tab w:val="num" w:pos="1440"/>
        </w:tabs>
        <w:ind w:start="1440" w:hanging="720"/>
      </w:pPr>
    </w:lvl>
    <w:lvl w:ilvl="5">
      <w:start w:val="1"/>
      <w:numFmt w:val="lowerLetter"/>
      <w:lvlText w:val="%6)"/>
      <w:lvlJc w:val="start"/>
      <w:pPr>
        <w:tabs>
          <w:tab w:val="num" w:pos="1152"/>
        </w:tabs>
        <w:ind w:start="1152" w:hanging="432"/>
      </w:pPr>
    </w:lvl>
    <w:lvl w:ilvl="6">
      <w:start w:val="1"/>
      <w:numFmt w:val="lowerRoman"/>
      <w:lvlText w:val="%7)"/>
      <w:lvlJc w:val="end"/>
      <w:pPr>
        <w:tabs>
          <w:tab w:val="num" w:pos="1296"/>
        </w:tabs>
        <w:ind w:start="1296" w:hanging="288"/>
      </w:pPr>
    </w:lvl>
    <w:lvl w:ilvl="7">
      <w:start w:val="1"/>
      <w:numFmt w:val="lowerLetter"/>
      <w:lvlText w:val="%8."/>
      <w:lvlJc w:val="start"/>
      <w:pPr>
        <w:tabs>
          <w:tab w:val="num" w:pos="1440"/>
        </w:tabs>
        <w:ind w:start="1440" w:hanging="432"/>
      </w:pPr>
    </w:lvl>
    <w:lvl w:ilvl="8">
      <w:start w:val="1"/>
      <w:numFmt w:val="lowerRoman"/>
      <w:lvlText w:val="%9."/>
      <w:lvlJc w:val="end"/>
      <w:pPr>
        <w:tabs>
          <w:tab w:val="num" w:pos="1584"/>
        </w:tabs>
        <w:ind w:start="1584" w:hanging="144"/>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docVars>
    <w:docVar w:name="MarkCheckBox" w:val="TRUE"/>
    <w:docVar w:name="ShowScreenCheckBox" w:val="TRU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en-US" w:bidi="hi-IN"/>
    </w:rPr>
  </w:style>
  <w:style w:type="paragraph" w:styleId="Heading1">
    <w:name w:val="heading 1"/>
    <w:basedOn w:val="Normal"/>
    <w:next w:val="Normal"/>
    <w:qFormat/>
    <w:pPr>
      <w:numPr>
        <w:ilvl w:val="0"/>
        <w:numId w:val="4"/>
      </w:numPr>
      <w:tabs>
        <w:tab w:val="clear" w:pos="720"/>
      </w:tabs>
      <w:spacing w:before="0" w:after="240"/>
      <w:jc w:val="both"/>
      <w:outlineLvl w:val="0"/>
    </w:pPr>
    <w:rPr/>
  </w:style>
  <w:style w:type="paragraph" w:styleId="Heading2">
    <w:name w:val="heading 2"/>
    <w:basedOn w:val="Normal"/>
    <w:next w:val="Normal"/>
    <w:qFormat/>
    <w:pPr>
      <w:numPr>
        <w:ilvl w:val="0"/>
        <w:numId w:val="4"/>
      </w:numPr>
      <w:spacing w:before="0" w:after="240"/>
      <w:jc w:val="both"/>
      <w:outlineLvl w:val="1"/>
    </w:pPr>
    <w:rPr/>
  </w:style>
  <w:style w:type="paragraph" w:styleId="Heading3">
    <w:name w:val="heading 3"/>
    <w:basedOn w:val="Normal"/>
    <w:next w:val="Normal"/>
    <w:qFormat/>
    <w:pPr>
      <w:numPr>
        <w:ilvl w:val="0"/>
        <w:numId w:val="5"/>
      </w:numPr>
      <w:spacing w:before="0" w:after="240"/>
      <w:jc w:val="both"/>
      <w:outlineLvl w:val="2"/>
    </w:pPr>
    <w:rPr/>
  </w:style>
  <w:style w:type="paragraph" w:styleId="Heading4">
    <w:name w:val="heading 4"/>
    <w:basedOn w:val="Normal"/>
    <w:next w:val="Normal"/>
    <w:qFormat/>
    <w:pPr>
      <w:numPr>
        <w:ilvl w:val="0"/>
        <w:numId w:val="4"/>
      </w:numPr>
      <w:spacing w:before="0" w:after="240"/>
      <w:outlineLvl w:val="3"/>
    </w:pPr>
    <w:rPr/>
  </w:style>
  <w:style w:type="paragraph" w:styleId="Heading5">
    <w:name w:val="heading 5"/>
    <w:basedOn w:val="Normal"/>
    <w:next w:val="Normal"/>
    <w:qFormat/>
    <w:pPr>
      <w:numPr>
        <w:ilvl w:val="0"/>
        <w:numId w:val="4"/>
      </w:numPr>
      <w:spacing w:before="0" w:after="240"/>
      <w:outlineLvl w:val="4"/>
    </w:pPr>
    <w:rPr/>
  </w:style>
  <w:style w:type="paragraph" w:styleId="Heading6">
    <w:name w:val="heading 6"/>
    <w:basedOn w:val="Normal"/>
    <w:next w:val="Normal"/>
    <w:qFormat/>
    <w:pPr>
      <w:numPr>
        <w:ilvl w:val="5"/>
        <w:numId w:val="1"/>
      </w:numPr>
      <w:outlineLvl w:val="5"/>
    </w:pPr>
    <w:rPr/>
  </w:style>
  <w:style w:type="paragraph" w:styleId="Heading7">
    <w:name w:val="heading 7"/>
    <w:basedOn w:val="Normal"/>
    <w:next w:val="Normal"/>
    <w:qFormat/>
    <w:pPr>
      <w:numPr>
        <w:ilvl w:val="6"/>
        <w:numId w:val="1"/>
      </w:numPr>
      <w:outlineLvl w:val="6"/>
    </w:pPr>
    <w:rPr/>
  </w:style>
  <w:style w:type="paragraph" w:styleId="Heading8">
    <w:name w:val="heading 8"/>
    <w:basedOn w:val="Normal"/>
    <w:next w:val="Normal"/>
    <w:qFormat/>
    <w:pPr>
      <w:numPr>
        <w:ilvl w:val="7"/>
        <w:numId w:val="1"/>
      </w:numPr>
      <w:outlineLvl w:val="7"/>
    </w:pPr>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1z0">
    <w:name w:val="WW8Num1z0"/>
    <w:qFormat/>
    <w:rPr>
      <w:rFonts w:ascii="Times New Roman" w:hAnsi="Times New Roman" w:cs="Times New Roman"/>
      <w:b w:val="false"/>
      <w:i w:val="false"/>
      <w:color w:val="auto"/>
      <w:sz w:val="24"/>
      <w:u w:val="none"/>
    </w:rPr>
  </w:style>
  <w:style w:type="character" w:styleId="WW8Num3z0">
    <w:name w:val="WW8Num3z0"/>
    <w:qFormat/>
    <w:rPr>
      <w:rFonts w:ascii="Times New Roman" w:hAnsi="Times New Roman" w:cs="Times New Roman"/>
      <w:b w:val="false"/>
      <w:i w:val="false"/>
      <w:caps/>
      <w:sz w:val="24"/>
      <w:u w:val="none"/>
    </w:rPr>
  </w:style>
  <w:style w:type="character" w:styleId="WW8Num4z0">
    <w:name w:val="WW8Num4z0"/>
    <w:qFormat/>
    <w:rPr/>
  </w:style>
  <w:style w:type="character" w:styleId="WW8Num8z0">
    <w:name w:val="WW8Num8z0"/>
    <w:qFormat/>
    <w:rPr>
      <w:caps/>
    </w:rPr>
  </w:style>
  <w:style w:type="character" w:styleId="WW8Num9z0">
    <w:name w:val="WW8Num9z0"/>
    <w:qFormat/>
    <w:rPr>
      <w:caps/>
    </w:rPr>
  </w:style>
  <w:style w:type="character" w:styleId="WW8Num12z0">
    <w:name w:val="WW8Num12z0"/>
    <w:qFormat/>
    <w:rPr>
      <w:caps/>
    </w:rPr>
  </w:style>
  <w:style w:type="character" w:styleId="WW8Num13z0">
    <w:name w:val="WW8Num13z0"/>
    <w:qFormat/>
    <w:rPr>
      <w:caps/>
    </w:rPr>
  </w:style>
  <w:style w:type="character" w:styleId="WW8NumSt15z0">
    <w:name w:val="WW8NumSt15z0"/>
    <w:qFormat/>
    <w:rPr>
      <w:caps/>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spacing w:before="240" w:after="60"/>
      <w:jc w:val="center"/>
      <w:outlineLvl w:val="0"/>
    </w:pPr>
    <w:rPr>
      <w:rFonts w:ascii="Arial" w:hAnsi="Arial" w:cs="Arial"/>
      <w:b/>
      <w:kern w:val="2"/>
      <w:sz w:val="32"/>
    </w:rPr>
  </w:style>
  <w:style w:type="paragraph" w:styleId="BodyText">
    <w:name w:val="Body Text"/>
    <w:basedOn w:val="Normal"/>
    <w:pPr>
      <w:widowControl/>
      <w:spacing w:before="0" w:after="2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lainText">
    <w:name w:val="Plain Text"/>
    <w:basedOn w:val="Normal"/>
    <w:qFormat/>
    <w:pPr>
      <w:spacing w:before="0" w:after="240"/>
      <w:ind w:firstLine="1440" w:start="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hidden">
    <w:name w:val="hidden"/>
    <w:basedOn w:val="Heading1"/>
    <w:qFormat/>
    <w:pPr>
      <w:numPr>
        <w:ilvl w:val="0"/>
        <w:numId w:val="4"/>
      </w:numPr>
    </w:pPr>
    <w:rPr>
      <w:vanish/>
      <w:color w:val="FF0000"/>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left" w:pos="-1440" w:leader="none"/>
        <w:tab w:val="left" w:pos="-720" w:leader="none"/>
        <w:tab w:val="left" w:pos="0" w:leader="none"/>
        <w:tab w:val="left" w:pos="720" w:leader="none"/>
        <w:tab w:val="left" w:pos="1440" w:leader="none"/>
      </w:tabs>
      <w:suppressAutoHyphens w:val="true"/>
      <w:ind w:hanging="1440" w:start="1440" w:end="0"/>
      <w:jc w:val="both"/>
    </w:pPr>
    <w:rPr>
      <w:spacing w:val="-3"/>
    </w:rPr>
  </w:style>
  <w:style w:type="paragraph" w:styleId="BodyText2">
    <w:name w:val="Body Text 2"/>
    <w:basedOn w:val="Normal"/>
    <w:qFormat/>
    <w:pPr>
      <w:tabs>
        <w:tab w:val="clear" w:pos="720"/>
        <w:tab w:val="left" w:pos="-1440" w:leader="none"/>
        <w:tab w:val="left" w:pos="-720" w:leader="none"/>
      </w:tabs>
      <w:suppressAutoHyphens w:val="true"/>
      <w:jc w:val="both"/>
    </w:pPr>
    <w:rPr>
      <w:spacing w:val="-3"/>
    </w:rPr>
  </w:style>
  <w:style w:type="paragraph" w:styleId="BodyTextIndent2">
    <w:name w:val="Body Text Indent 2"/>
    <w:basedOn w:val="Normal"/>
    <w:qFormat/>
    <w:pPr>
      <w:tabs>
        <w:tab w:val="left" w:pos="720" w:leader="none"/>
      </w:tabs>
      <w:ind w:hanging="1440" w:start="1440" w:end="0"/>
    </w:pPr>
    <w:rPr/>
  </w:style>
  <w:style w:type="paragraph" w:styleId="BodyTextIndent3">
    <w:name w:val="Body Text Indent 3"/>
    <w:basedOn w:val="Normal"/>
    <w:qFormat/>
    <w:pPr>
      <w:tabs>
        <w:tab w:val="clear" w:pos="720"/>
        <w:tab w:val="left" w:pos="1440" w:leader="none"/>
      </w:tabs>
      <w:ind w:hanging="2160" w:start="2160" w:end="0"/>
    </w:pPr>
    <w:rPr/>
  </w:style>
  <w:style w:type="paragraph" w:styleId="Style11">
    <w:name w:val="Style1"/>
    <w:basedOn w:val="Normal"/>
    <w:qFormat/>
    <w:pPr>
      <w:spacing w:before="0" w:after="240"/>
      <w:jc w:val="center"/>
    </w:pPr>
    <w:rPr/>
  </w:style>
  <w:style w:type="paragraph" w:styleId="Style21">
    <w:name w:val="Style2"/>
    <w:basedOn w:val="Normal"/>
    <w:qFormat/>
    <w:pPr>
      <w:spacing w:before="0" w:after="240"/>
      <w:jc w:val="center"/>
    </w:pPr>
    <w:rPr/>
  </w:style>
  <w:style w:type="paragraph" w:styleId="FootnoteText">
    <w:name w:val="footnote text"/>
    <w:basedOn w:val="Normal"/>
    <w:pPr/>
    <w:rPr>
      <w:sz w:val="20"/>
    </w:rPr>
  </w:style>
  <w:style w:type="paragraph" w:styleId="BodyTextFirstIndent">
    <w:name w:val="Body Text First Indent"/>
    <w:basedOn w:val="BodyText"/>
    <w:qFormat/>
    <w:pPr>
      <w:ind w:firstLine="720" w:start="0" w:end="0"/>
      <w:jc w:val="both"/>
    </w:pPr>
    <w:rPr/>
  </w:style>
  <w:style w:type="paragraph" w:styleId="BodyTextFirstIndent2">
    <w:name w:val="Body Text First Indent 2"/>
    <w:basedOn w:val="BodyTextIndent"/>
    <w:qFormat/>
    <w:pPr>
      <w:numPr>
        <w:ilvl w:val="0"/>
        <w:numId w:val="2"/>
      </w:numPr>
      <w:tabs>
        <w:tab w:val="clear" w:pos="0"/>
        <w:tab w:val="clear" w:pos="720"/>
        <w:tab w:val="clear" w:pos="1440"/>
        <w:tab w:val="left" w:pos="-1440" w:leader="none"/>
        <w:tab w:val="left" w:pos="-720" w:leader="none"/>
      </w:tabs>
      <w:suppressAutoHyphens w:val="false"/>
      <w:spacing w:before="0" w:after="240"/>
    </w:pPr>
    <w:rPr>
      <w:spacing w:val="0"/>
      <w:lang w:eastAsia="en-CA"/>
    </w:rPr>
  </w:style>
  <w:style w:type="paragraph" w:styleId="DocID">
    <w:name w:val="DocID"/>
    <w:next w:val="Normal"/>
    <w:qFormat/>
    <w:pPr>
      <w:widowControl/>
      <w:bidi w:val="0"/>
    </w:pPr>
    <w:rPr>
      <w:rFonts w:ascii="Times New Roman" w:hAnsi="Times New Roman" w:eastAsia="Times New Roman" w:cs="Times New Roman"/>
      <w:color w:val="auto"/>
      <w:sz w:val="16"/>
      <w:szCs w:val="20"/>
      <w:lang w:val="en-CA" w:eastAsia="zh-CN" w:bidi="hi-IN"/>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2000-06-09T23:31:00Z</dcterms:created>
  <dc:creator>PIETRAJ</dc:creator>
  <dc:description/>
  <cp:keywords>63236139.04</cp:keywords>
  <dc:language>en-CA</dc:language>
  <cp:lastModifiedBy>Winthrop, Stimson, Putnam &amp; Roberts</cp:lastModifiedBy>
  <cp:lastPrinted>2000-05-29T15:38:00Z</cp:lastPrinted>
  <dcterms:modified xsi:type="dcterms:W3CDTF">2000-06-09T23:31:00Z</dcterms:modified>
  <cp:revision>2</cp:revision>
  <dc:subject/>
  <dc:title>$325,000,000</dc:title>
</cp:coreProperties>
</file>