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u w:val="single"/>
        </w:rPr>
      </w:pPr>
      <w:r>
        <w:rPr>
          <w:u w:val="single"/>
        </w:rPr>
        <w:t>Bidder A - December 7, 2000</w:t>
      </w:r>
    </w:p>
    <w:p>
      <w:pPr>
        <w:pStyle w:val="Normal"/>
        <w:jc w:val="center"/>
        <w:rPr>
          <w:u w:val="single"/>
        </w:rPr>
      </w:pPr>
      <w:r>
        <w:rPr>
          <w:u w:val="single"/>
        </w:rPr>
      </w:r>
    </w:p>
    <w:p>
      <w:pPr>
        <w:pStyle w:val="Normal"/>
        <w:jc w:val="center"/>
        <w:rPr/>
      </w:pPr>
      <w:r>
        <w:rPr/>
        <w:t>PURCHASE OPTION AGREEMENT (LEASED FACILITIES) OUTSTANDING MATTERS</w:t>
      </w:r>
    </w:p>
    <w:p>
      <w:pPr>
        <w:pStyle w:val="Normal"/>
        <w:jc w:val="center"/>
        <w:rPr/>
      </w:pPr>
      <w:r>
        <w:rPr/>
      </w:r>
    </w:p>
    <w:p>
      <w:pPr>
        <w:pStyle w:val="Normal"/>
        <w:jc w:val="center"/>
        <w:rPr/>
      </w:pPr>
      <w:r>
        <w:rPr/>
      </w:r>
    </w:p>
    <w:p>
      <w:pPr>
        <w:pStyle w:val="Normal"/>
        <w:rPr/>
      </w:pPr>
      <w:r>
        <w:rPr/>
        <w:t>1.</w:t>
        <w:tab/>
      </w:r>
      <w:r>
        <w:rPr>
          <w:u w:val="single"/>
        </w:rPr>
        <w:t>Package Deal</w:t>
      </w:r>
      <w:r>
        <w:rPr/>
        <w:t xml:space="preserve"> - Due to pricing, sublease and operational considerations, and a desire to avoid unnecessary complications, partial transfers cannot be permitted.  In order to maintain the Sublease and RUA assets as a package, exercise and closing under both agreements must be tied together.  Due to a desire to assure bona fide third party offer prices, transfers to affiliated entities cannot be permitted.  (Sections 3.02, 5.01, 5.02)</w:t>
      </w:r>
    </w:p>
    <w:p>
      <w:pPr>
        <w:pStyle w:val="Normal"/>
        <w:rPr/>
      </w:pPr>
      <w:r>
        <w:rPr/>
      </w:r>
    </w:p>
    <w:p>
      <w:pPr>
        <w:pStyle w:val="Normal"/>
        <w:rPr/>
      </w:pPr>
      <w:r>
        <w:rPr/>
        <w:t>2.</w:t>
        <w:tab/>
      </w:r>
      <w:r>
        <w:rPr>
          <w:u w:val="single"/>
        </w:rPr>
        <w:t>Triggering Events</w:t>
      </w:r>
      <w:r>
        <w:rPr/>
        <w:t xml:space="preserve"> - To adequately protect Buyer, the Triggering Events must include, in addition to bankruptcy of Enron, Leaseco or Prime Lessor, failures by Enron to reimburse HPL within a reasonable period of time (we suggested 90 days), unenforceability or assertion of unenforceability of the Enron Assurances Agreement and the imposition of Liens.  (Section 2.01)</w:t>
      </w:r>
    </w:p>
    <w:p>
      <w:pPr>
        <w:pStyle w:val="Normal"/>
        <w:rPr/>
      </w:pPr>
      <w:r>
        <w:rPr/>
      </w:r>
    </w:p>
    <w:p>
      <w:pPr>
        <w:pStyle w:val="Normal"/>
        <w:rPr/>
      </w:pPr>
      <w:r>
        <w:rPr/>
        <w:t>3.</w:t>
        <w:tab/>
      </w:r>
      <w:r>
        <w:rPr>
          <w:u w:val="single"/>
        </w:rPr>
        <w:t>Option Price</w:t>
      </w:r>
      <w:r>
        <w:rPr/>
        <w:t xml:space="preserve"> - Since Base Rent under the Sublease was derived in respect of both the Sublease and RUA assets, the “Option Price” should be allocated between the POA (Leased Facilities) and POA (RUA).  The RUA Increment can be an arbitrary amount to avoid difficulties of appraising RUA assets separately.  Unpaid Reimbursement Obligations must also be deducted from the Option Price and the ROFR price.  (Sections 1.01, 3.01(a))</w:t>
      </w:r>
    </w:p>
    <w:p>
      <w:pPr>
        <w:pStyle w:val="Normal"/>
        <w:rPr/>
      </w:pPr>
      <w:r>
        <w:rPr/>
      </w:r>
    </w:p>
    <w:p>
      <w:pPr>
        <w:pStyle w:val="Normal"/>
        <w:rPr/>
      </w:pPr>
      <w:r>
        <w:rPr/>
        <w:t>4.</w:t>
        <w:tab/>
      </w:r>
      <w:r>
        <w:rPr>
          <w:u w:val="single"/>
        </w:rPr>
        <w:t>Meaning of “Transfer”</w:t>
      </w:r>
      <w:r>
        <w:rPr/>
        <w:t xml:space="preserve"> - Since dispositions can be made directly by sale, or indirectly such as by merger or sale of equity interests, the term “Transfer” needs to contemplate the various possibilities.  (Sections 1.01, 3.01)</w:t>
      </w:r>
    </w:p>
    <w:p>
      <w:pPr>
        <w:pStyle w:val="Normal"/>
        <w:rPr/>
      </w:pPr>
      <w:r>
        <w:rPr/>
      </w:r>
    </w:p>
    <w:p>
      <w:pPr>
        <w:pStyle w:val="Normal"/>
        <w:rPr/>
      </w:pPr>
      <w:r>
        <w:rPr/>
        <w:t>5.</w:t>
        <w:tab/>
      </w:r>
      <w:r>
        <w:rPr>
          <w:u w:val="single"/>
        </w:rPr>
        <w:t>Integrity of ROFR</w:t>
      </w:r>
      <w:r>
        <w:rPr/>
        <w:t xml:space="preserve"> - Since a third party could negotiate with Enron during the Sublease term but delay an offer, ROFR period must include “one year thereafter.”  (Section 3.01)</w:t>
      </w:r>
    </w:p>
    <w:p>
      <w:pPr>
        <w:pStyle w:val="Normal"/>
        <w:rPr/>
      </w:pPr>
      <w:r>
        <w:rPr/>
      </w:r>
    </w:p>
    <w:p>
      <w:pPr>
        <w:pStyle w:val="Normal"/>
        <w:rPr/>
      </w:pPr>
      <w:r>
        <w:rPr/>
        <w:t>6.</w:t>
        <w:tab/>
      </w:r>
      <w:r>
        <w:rPr>
          <w:u w:val="single"/>
        </w:rPr>
        <w:t>Time Period Extensions</w:t>
      </w:r>
      <w:r>
        <w:rPr/>
        <w:t xml:space="preserve"> - To mitigate the potential adverse effect of external events, Purchase Option and ROFR time periods must be extendable for court action, insolvency, regulatory delays, or delays in obtaining required third party consents.  (Sections 2.03, 3.01(c), 5.02)</w:t>
      </w:r>
    </w:p>
    <w:p>
      <w:pPr>
        <w:pStyle w:val="Normal"/>
        <w:rPr/>
      </w:pPr>
      <w:r>
        <w:rPr/>
      </w:r>
    </w:p>
    <w:p>
      <w:pPr>
        <w:pStyle w:val="Normal"/>
        <w:rPr/>
      </w:pPr>
      <w:r>
        <w:rPr/>
      </w:r>
    </w:p>
    <w:p>
      <w:pPr>
        <w:pStyle w:val="Normal"/>
        <w:jc w:val="center"/>
        <w:rPr/>
      </w:pPr>
      <w:r>
        <w:rPr/>
        <w:t>PURCHASE OPTION AGREEMENT (COMPRESSION FACILITIES)</w:t>
      </w:r>
    </w:p>
    <w:p>
      <w:pPr>
        <w:pStyle w:val="Normal"/>
        <w:jc w:val="center"/>
        <w:rPr/>
      </w:pPr>
      <w:r>
        <w:rPr/>
        <w:t>OUTSTANDING MATTERS</w:t>
      </w:r>
    </w:p>
    <w:p>
      <w:pPr>
        <w:pStyle w:val="Normal"/>
        <w:jc w:val="center"/>
        <w:rPr/>
      </w:pPr>
      <w:r>
        <w:rPr/>
      </w:r>
    </w:p>
    <w:p>
      <w:pPr>
        <w:pStyle w:val="Normal"/>
        <w:jc w:val="center"/>
        <w:rPr/>
      </w:pPr>
      <w:r>
        <w:rPr/>
      </w:r>
    </w:p>
    <w:p>
      <w:pPr>
        <w:pStyle w:val="Normal"/>
        <w:rPr/>
      </w:pPr>
      <w:r>
        <w:rPr/>
        <w:t>1.</w:t>
        <w:tab/>
        <w:t xml:space="preserve">Except for determination of Option Price for RUA assets and related provisions, and terminology changes, comments for POA (Leased Facilities) should apply to the POA (Compression Facilities) as well. </w:t>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44306.2 04561 00374 12/7/00 2:19:08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2000-12-07T15:18:00Z</dcterms:created>
  <dc:creator>LeBoeuf, Lamb, Greene &amp; MacRae, L.L.P.</dc:creator>
  <dc:description/>
  <cp:keywords>HN 44306.2 04561 00374 12/7/00 2:19:08 PM</cp:keywords>
  <dc:language>en-CA</dc:language>
  <cp:lastModifiedBy>LeBoeuf, Lamb, Greene &amp; MacRae, L.L.P.</cp:lastModifiedBy>
  <cp:lastPrinted>2000-12-07T14:19:00Z</cp:lastPrinted>
  <dcterms:modified xsi:type="dcterms:W3CDTF">2000-12-07T17:49:00Z</dcterms:modified>
  <cp:revision>20</cp:revision>
  <dc:subject/>
  <dc:title>Heading 1</dc:title>
</cp:coreProperties>
</file>