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 w:ascii="Verdana" w:hAnsi="Verdana"/>
          <w:b/>
          <w:bCs/>
          <w:sz w:val="20"/>
          <w:szCs w:val="20"/>
        </w:rPr>
        <w:t>Friday, November 17,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3333750" cy="1924050"/>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1" t="-19" r="-11" b="-19"/>
                    <a:stretch>
                      <a:fillRect/>
                    </a:stretch>
                  </pic:blipFill>
                  <pic:spPr bwMode="auto">
                    <a:xfrm>
                      <a:off x="0" y="0"/>
                      <a:ext cx="3333750" cy="1924050"/>
                    </a:xfrm>
                    <a:prstGeom prst="rect">
                      <a:avLst/>
                    </a:prstGeom>
                    <a:noFill/>
                  </pic:spPr>
                </pic:pic>
              </a:graphicData>
            </a:graphic>
          </wp:inline>
        </w:drawing>
      </w:r>
      <w:r>
        <w:rPr>
          <w:rFonts w:cs="Verdana" w:ascii="Verdana" w:hAnsi="Verdana"/>
          <w:sz w:val="20"/>
          <w:szCs w:val="20"/>
        </w:rPr>
        <w:br/>
        <w:br/>
        <w:t xml:space="preserve">By Rick Stouffer </w:t>
        <w:br/>
      </w:r>
      <w:hyperlink r:id="rId3">
        <w:r>
          <w:rPr>
            <w:rStyle w:val="Hyperlink"/>
            <w:rFonts w:cs="Verdana" w:ascii="Verdana" w:hAnsi="Verdana"/>
            <w:sz w:val="20"/>
            <w:szCs w:val="20"/>
          </w:rPr>
          <w:t>rstouffer@ftenergy.com</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The North American Electric Reliability Council's recently released 2000-2009 reliability assessment, from a transmission viewpoint, is an example of what might be called "a hope and a prayer." </w:t>
      </w:r>
    </w:p>
    <w:p>
      <w:pPr>
        <w:pStyle w:val="NormalWeb"/>
        <w:rPr>
          <w:rFonts w:ascii="Verdana" w:hAnsi="Verdana" w:cs="Verdana"/>
          <w:sz w:val="20"/>
          <w:szCs w:val="20"/>
        </w:rPr>
      </w:pPr>
      <w:r>
        <w:rPr>
          <w:rFonts w:cs="Verdana" w:ascii="Verdana" w:hAnsi="Verdana"/>
          <w:sz w:val="20"/>
          <w:szCs w:val="20"/>
        </w:rPr>
        <w:t xml:space="preserve">"In the near term (2000-2004), the transmission system is expected to operate satisfactorily," NERC's projection reads. But in the same breath, the council admits that satisfactory operation will require continually increasing coordination with surrounding systems and proper transmission system operator actions. Further, NERC states that "as competitive electricity markets continue to develop, it is likely the transmission system will be operated at levels of power flows and in configuration not previously experienced." </w:t>
      </w:r>
    </w:p>
    <w:p>
      <w:pPr>
        <w:pStyle w:val="NormalWeb"/>
        <w:rPr>
          <w:rFonts w:ascii="Verdana" w:hAnsi="Verdana" w:cs="Verdana"/>
          <w:sz w:val="20"/>
          <w:szCs w:val="20"/>
        </w:rPr>
      </w:pPr>
      <w:r>
        <w:rPr>
          <w:rFonts w:cs="Verdana" w:ascii="Verdana" w:hAnsi="Verdana"/>
          <w:sz w:val="20"/>
          <w:szCs w:val="20"/>
        </w:rPr>
        <w:t xml:space="preserve">To help reach satisfaction, NERC projects that a measly 5,993 miles of wires will be added to the North America system within the next five years—2.9% of the 2000 total of 203,607. Just 2,452 miles will be added between 2005 and 2009, but forget that figure, because as rapidly as the industry is changing, projections farther than five years out are like spitting into the wind. </w:t>
      </w:r>
    </w:p>
    <w:p>
      <w:pPr>
        <w:pStyle w:val="NormalWeb"/>
        <w:rPr>
          <w:rFonts w:ascii="Verdana" w:hAnsi="Verdana" w:cs="Verdana"/>
          <w:sz w:val="20"/>
          <w:szCs w:val="20"/>
        </w:rPr>
      </w:pPr>
      <w:r>
        <w:rPr>
          <w:rFonts w:cs="Verdana" w:ascii="Verdana" w:hAnsi="Verdana"/>
          <w:sz w:val="20"/>
          <w:szCs w:val="20"/>
        </w:rPr>
        <w:t xml:space="preserve">While additions to transmission are anemic, new generation projects are being added seemingly every week. NERC's research indicates that while demand is projected to increase by roughly 60,500 MW between 2000 and 2004, new additions could reach 193,000 MW over the same time frame. </w:t>
      </w:r>
    </w:p>
    <w:p>
      <w:pPr>
        <w:pStyle w:val="NormalWeb"/>
        <w:rPr/>
      </w:pPr>
      <w:r>
        <w:rPr>
          <w:rFonts w:cs="Verdana" w:ascii="Verdana" w:hAnsi="Verdana"/>
          <w:b/>
          <w:bCs/>
          <w:sz w:val="20"/>
          <w:szCs w:val="20"/>
        </w:rPr>
        <w:t>Transmission investment has fallen behind</w:t>
      </w:r>
      <w:r>
        <w:rPr>
          <w:rFonts w:cs="Verdana" w:ascii="Verdana" w:hAnsi="Verdana"/>
          <w:sz w:val="20"/>
          <w:szCs w:val="20"/>
        </w:rPr>
        <w:br/>
        <w:t xml:space="preserve">"Transmission planning used to be an outgrowth of generation planning, but no longer," according to Steven Taub, associate director of Cambridge Energy Research Associates North American Energy Group. </w:t>
      </w:r>
    </w:p>
    <w:p>
      <w:pPr>
        <w:pStyle w:val="NormalWeb"/>
        <w:rPr>
          <w:rFonts w:ascii="Verdana" w:hAnsi="Verdana" w:cs="Verdana"/>
          <w:sz w:val="20"/>
          <w:szCs w:val="20"/>
        </w:rPr>
      </w:pPr>
      <w:r>
        <w:drawing>
          <wp:anchor behindDoc="0" distT="0" distB="0" distL="0" distR="0" simplePos="0" locked="0" layoutInCell="0" allowOverlap="1" relativeHeight="3">
            <wp:simplePos x="0" y="0"/>
            <wp:positionH relativeFrom="column">
              <wp:posOffset>-1143000</wp:posOffset>
            </wp:positionH>
            <wp:positionV relativeFrom="line">
              <wp:posOffset>-8250555</wp:posOffset>
            </wp:positionV>
            <wp:extent cx="1905000" cy="857250"/>
            <wp:effectExtent l="0" t="0" r="0" b="0"/>
            <wp:wrapSquare wrapText="bothSides"/>
            <wp:docPr id="2" name="pic1"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 descr="" title="">
                      <a:hlinkClick r:id="rId5"/>
                    </pic:cNvPr>
                    <pic:cNvPicPr>
                      <a:picLocks noChangeAspect="1" noChangeArrowheads="1"/>
                    </pic:cNvPicPr>
                  </pic:nvPicPr>
                  <pic:blipFill>
                    <a:blip r:embed="rId4"/>
                    <a:srcRect l="-19" t="-42" r="-19" b="-42"/>
                    <a:stretch>
                      <a:fillRect/>
                    </a:stretch>
                  </pic:blipFill>
                  <pic:spPr bwMode="auto">
                    <a:xfrm>
                      <a:off x="0" y="0"/>
                      <a:ext cx="1905000" cy="857250"/>
                    </a:xfrm>
                    <a:prstGeom prst="rect">
                      <a:avLst/>
                    </a:prstGeom>
                    <a:noFill/>
                  </pic:spPr>
                </pic:pic>
              </a:graphicData>
            </a:graphic>
          </wp:anchor>
        </w:drawing>
      </w:r>
      <w:r>
        <w:rPr>
          <w:rFonts w:cs="Verdana" w:ascii="Verdana" w:hAnsi="Verdana"/>
          <w:sz w:val="20"/>
          <w:szCs w:val="20"/>
        </w:rPr>
        <w:t xml:space="preserve">According to figures from PricewaterhouseCoopers (PwC), investment between 1965 and 1985 in high-voltage transmission (189 kV and above) closely tracked or exceeded electricity sales. That closeness ended 15 years ago. Since then, investment in high-voltage lines has been one-third to one-half the rate of sales growth, while bulk power sales have more than quadrupled since 1996. </w:t>
      </w:r>
    </w:p>
    <w:p>
      <w:pPr>
        <w:pStyle w:val="NormalWeb"/>
        <w:rPr>
          <w:rFonts w:ascii="Verdana" w:hAnsi="Verdana" w:cs="Verdana"/>
          <w:sz w:val="20"/>
          <w:szCs w:val="20"/>
        </w:rPr>
      </w:pPr>
      <w:r>
        <w:rPr>
          <w:rFonts w:cs="Verdana" w:ascii="Verdana" w:hAnsi="Verdana"/>
          <w:sz w:val="20"/>
          <w:szCs w:val="20"/>
        </w:rPr>
        <w:t xml:space="preserve">"It's the uncertainty that the utilities are facing," said Elliot Roseman, a vice president in PwC's Securities Group in McLean, Va. "There is the regulatory uncertainty and also NIMBYism [not in my backyard]. Utilities also are unsure of what they want to be when they grow up." </w:t>
      </w:r>
    </w:p>
    <w:p>
      <w:pPr>
        <w:pStyle w:val="NormalWeb"/>
        <w:rPr>
          <w:rFonts w:ascii="Verdana" w:hAnsi="Verdana" w:cs="Verdana"/>
          <w:sz w:val="20"/>
          <w:szCs w:val="20"/>
        </w:rPr>
      </w:pPr>
      <w:r>
        <w:rPr>
          <w:rFonts w:cs="Verdana" w:ascii="Verdana" w:hAnsi="Verdana"/>
          <w:sz w:val="20"/>
          <w:szCs w:val="20"/>
        </w:rPr>
        <w:t xml:space="preserve">One thing is certain: While millions in new capital are flowing into generation construction, transmission deals can't get the time of day. Investors like a comfy return on their investment—certainly possible with generation, iffy with transmission. </w:t>
      </w:r>
    </w:p>
    <w:p>
      <w:pPr>
        <w:pStyle w:val="NormalWeb"/>
        <w:rPr>
          <w:rFonts w:ascii="Verdana" w:hAnsi="Verdana" w:cs="Verdana"/>
          <w:sz w:val="20"/>
          <w:szCs w:val="20"/>
        </w:rPr>
      </w:pPr>
      <w:r>
        <w:rPr>
          <w:rFonts w:cs="Verdana" w:ascii="Verdana" w:hAnsi="Verdana"/>
          <w:sz w:val="20"/>
          <w:szCs w:val="20"/>
        </w:rPr>
        <w:t xml:space="preserve">PwC estimates the current asset value of the nation's transmission grid is about $42 billion. How much will need to be invested to make the system what it used to be when deregulation was just an idea and vertically integrated utilities each operated their own little fiefdoms? Pick a figure, but make sure it ends in "billion." </w:t>
      </w:r>
    </w:p>
    <w:p>
      <w:pPr>
        <w:pStyle w:val="NormalWeb"/>
        <w:rPr/>
      </w:pPr>
      <w:r>
        <w:rPr>
          <w:rFonts w:cs="Verdana" w:ascii="Verdana" w:hAnsi="Verdana"/>
          <w:b/>
          <w:bCs/>
          <w:sz w:val="20"/>
          <w:szCs w:val="20"/>
        </w:rPr>
        <w:t>RTOs: an incentive to build?</w:t>
      </w:r>
      <w:r>
        <w:rPr>
          <w:rFonts w:cs="Verdana" w:ascii="Verdana" w:hAnsi="Verdana"/>
          <w:sz w:val="20"/>
          <w:szCs w:val="20"/>
        </w:rPr>
        <w:br/>
        <w:t xml:space="preserve">FERC certainly is trying to flatten the humps in the transmission road, mandating implementation of regional transmission organizations (RTOs) to handle the intricacies of moving power smoothly and efficiently from Point A to Point B, regardless of the distance between the two. </w:t>
      </w:r>
    </w:p>
    <w:p>
      <w:pPr>
        <w:pStyle w:val="NormalWeb"/>
        <w:rPr>
          <w:rFonts w:ascii="Verdana" w:hAnsi="Verdana" w:cs="Verdana"/>
          <w:sz w:val="20"/>
          <w:szCs w:val="20"/>
        </w:rPr>
      </w:pPr>
      <w:r>
        <w:rPr>
          <w:rFonts w:cs="Verdana" w:ascii="Verdana" w:hAnsi="Verdana"/>
          <w:sz w:val="20"/>
          <w:szCs w:val="20"/>
        </w:rPr>
        <w:t xml:space="preserve">"RTOs may be the form to take us to an incentive to build," said Craig Roach, an industry consultant with Boston-Pacific Inc. in Washington, D.C. "You can't count on things being normal, but FERC is counting on RTOs to help make things normal." </w:t>
      </w:r>
    </w:p>
    <w:p>
      <w:pPr>
        <w:pStyle w:val="NormalWeb"/>
        <w:rPr>
          <w:rFonts w:ascii="Verdana" w:hAnsi="Verdana" w:cs="Verdana"/>
          <w:sz w:val="20"/>
          <w:szCs w:val="20"/>
        </w:rPr>
      </w:pPr>
      <w:r>
        <w:rPr>
          <w:rFonts w:cs="Verdana" w:ascii="Verdana" w:hAnsi="Verdana"/>
          <w:sz w:val="20"/>
          <w:szCs w:val="20"/>
        </w:rPr>
        <w:t xml:space="preserve">But which RTO variation will garner the Federal Energy Regulatory Commission's blessing? Nonprofit, independent system operators already are in place in California, New York, New England and Texas, and they won't disappear. The question is what about independent transmission owner-operators, independent transmission companies (ITCs) or some hybrid between the two? Given the rapid demise—at least on paper—of the Midwest independent system operator (ISO), the move to for-profit transmission companies appears to be gaining momentum. </w:t>
      </w:r>
    </w:p>
    <w:p>
      <w:pPr>
        <w:pStyle w:val="NormalWeb"/>
        <w:rPr>
          <w:rFonts w:ascii="Verdana" w:hAnsi="Verdana" w:cs="Verdana"/>
          <w:sz w:val="20"/>
          <w:szCs w:val="20"/>
        </w:rPr>
      </w:pPr>
      <w:r>
        <w:rPr>
          <w:rFonts w:cs="Verdana" w:ascii="Verdana" w:hAnsi="Verdana"/>
          <w:sz w:val="20"/>
          <w:szCs w:val="20"/>
        </w:rPr>
        <w:t xml:space="preserve">Does either variation hold a better hand in terms of accessing new capital? The short answer: Who knows? Industry experts say it's much too early to determine which entity can access the most capital at the lowest cost. No one as of yet is reading FERC's collective mind to determine what it likes. </w:t>
      </w:r>
    </w:p>
    <w:p>
      <w:pPr>
        <w:pStyle w:val="NormalWeb"/>
        <w:rPr>
          <w:rFonts w:ascii="Verdana" w:hAnsi="Verdana" w:cs="Verdana"/>
          <w:sz w:val="20"/>
          <w:szCs w:val="20"/>
        </w:rPr>
      </w:pPr>
      <w:r>
        <w:rPr>
          <w:rFonts w:cs="Verdana" w:ascii="Verdana" w:hAnsi="Verdana"/>
          <w:sz w:val="20"/>
          <w:szCs w:val="20"/>
        </w:rPr>
        <w:t xml:space="preserve">Still, if the ISO model is a winner, look for more traditional avenues of capital investment, according to PwC's Roseman. </w:t>
      </w:r>
    </w:p>
    <w:p>
      <w:pPr>
        <w:pStyle w:val="NormalWeb"/>
        <w:rPr>
          <w:rFonts w:ascii="Verdana" w:hAnsi="Verdana" w:cs="Verdana"/>
          <w:sz w:val="20"/>
          <w:szCs w:val="20"/>
        </w:rPr>
      </w:pPr>
      <w:r>
        <w:rPr>
          <w:rFonts w:cs="Verdana" w:ascii="Verdana" w:hAnsi="Verdana"/>
          <w:sz w:val="20"/>
          <w:szCs w:val="20"/>
        </w:rPr>
        <w:t xml:space="preserve">"The ISOs would draw from traditional institutional investors and Moms &amp; Pops, who always have invested in the utilities," he said. </w:t>
      </w:r>
    </w:p>
    <w:p>
      <w:pPr>
        <w:pStyle w:val="NormalWeb"/>
        <w:rPr>
          <w:rFonts w:ascii="Verdana" w:hAnsi="Verdana" w:cs="Verdana"/>
          <w:sz w:val="20"/>
          <w:szCs w:val="20"/>
        </w:rPr>
      </w:pPr>
      <w:r>
        <w:rPr>
          <w:rFonts w:cs="Verdana" w:ascii="Verdana" w:hAnsi="Verdana"/>
          <w:sz w:val="20"/>
          <w:szCs w:val="20"/>
        </w:rPr>
        <w:t xml:space="preserve">However, if ITCs garner favor, Roseman believes the avenues of access could be wider. </w:t>
      </w:r>
    </w:p>
    <w:p>
      <w:pPr>
        <w:pStyle w:val="NormalWeb"/>
        <w:rPr>
          <w:rFonts w:ascii="Verdana" w:hAnsi="Verdana" w:cs="Verdana"/>
          <w:sz w:val="20"/>
          <w:szCs w:val="20"/>
        </w:rPr>
      </w:pPr>
      <w:r>
        <w:rPr>
          <w:rFonts w:cs="Verdana" w:ascii="Verdana" w:hAnsi="Verdana"/>
          <w:sz w:val="20"/>
          <w:szCs w:val="20"/>
        </w:rPr>
        <w:t xml:space="preserve">"If profit-making entities, look for private placements and, down the line, initial public offerings," he said. Companies looking to do IPOs generally like to have a track record in place to establish credibility and entice willing investors. ITCs' longevity may be minimal, but they offer investors ongoing (for now) regulation and they should have a dedicated revenue stream, even if they are more highly leveraged than traditional utilities. </w:t>
      </w:r>
    </w:p>
    <w:p>
      <w:pPr>
        <w:pStyle w:val="NormalWeb"/>
        <w:rPr/>
      </w:pPr>
      <w:r>
        <w:rPr>
          <w:rFonts w:cs="Verdana" w:ascii="Verdana" w:hAnsi="Verdana"/>
          <w:b/>
          <w:bCs/>
          <w:sz w:val="20"/>
          <w:szCs w:val="20"/>
        </w:rPr>
        <w:t>Investors must be enticed</w:t>
      </w:r>
      <w:r>
        <w:rPr>
          <w:rFonts w:cs="Verdana" w:ascii="Verdana" w:hAnsi="Verdana"/>
          <w:sz w:val="20"/>
          <w:szCs w:val="20"/>
        </w:rPr>
        <w:br/>
        <w:t xml:space="preserve">Another huge question looming is whether or not regulators will grant RTOs rates that allow the entities to cover expenses and make a return adequate to raise the debt demanded for capital outlays. </w:t>
      </w:r>
    </w:p>
    <w:p>
      <w:pPr>
        <w:pStyle w:val="NormalWeb"/>
        <w:rPr>
          <w:rFonts w:ascii="Verdana" w:hAnsi="Verdana" w:cs="Verdana"/>
          <w:sz w:val="20"/>
          <w:szCs w:val="20"/>
        </w:rPr>
      </w:pPr>
      <w:r>
        <w:rPr>
          <w:rFonts w:cs="Verdana" w:ascii="Verdana" w:hAnsi="Verdana"/>
          <w:sz w:val="20"/>
          <w:szCs w:val="20"/>
        </w:rPr>
        <w:t xml:space="preserve">"FERC realizes its returns are not enticing companies to spin off their wires assets," said James Avery, an industry consultant with R.J. Rudden Associates in Hauppauge, N.Y. "It's almost like they are saying 'come to us and we'll rule on your request (for higher returns) on an individual basis.'" </w:t>
      </w:r>
    </w:p>
    <w:p>
      <w:pPr>
        <w:pStyle w:val="NormalWeb"/>
        <w:rPr>
          <w:rFonts w:ascii="Verdana" w:hAnsi="Verdana" w:cs="Verdana"/>
          <w:sz w:val="20"/>
          <w:szCs w:val="20"/>
        </w:rPr>
      </w:pPr>
      <w:r>
        <w:rPr>
          <w:rFonts w:cs="Verdana" w:ascii="Verdana" w:hAnsi="Verdana"/>
          <w:sz w:val="20"/>
          <w:szCs w:val="20"/>
        </w:rPr>
        <w:t xml:space="preserve">PwC's Roseman said FERC has hinted—that's hinted—that it may allow a debt structure in which the higher the debt load taken on by a company, the higher the rate of return allowed. </w:t>
      </w:r>
    </w:p>
    <w:p>
      <w:pPr>
        <w:pStyle w:val="NormalWeb"/>
        <w:rPr>
          <w:rFonts w:ascii="Verdana" w:hAnsi="Verdana" w:cs="Verdana"/>
          <w:sz w:val="20"/>
          <w:szCs w:val="20"/>
        </w:rPr>
      </w:pPr>
      <w:r>
        <w:rPr>
          <w:rFonts w:cs="Verdana" w:ascii="Verdana" w:hAnsi="Verdana"/>
          <w:sz w:val="20"/>
          <w:szCs w:val="20"/>
        </w:rPr>
        <w:t xml:space="preserve">Still, it can be tough to catch the investment community's eyes when you offer miles of wires compared to millions of Web sites. High-tech firms and dot.coms may be off their peaks of a few months ago, but they still command considerable investor attention. To catch eyes and bucks, RTOs will have to tell an engaging story. Roseman offers some ways an RTO can garner attention. </w:t>
      </w:r>
    </w:p>
    <w:p>
      <w:pPr>
        <w:pStyle w:val="Normal"/>
        <w:numPr>
          <w:ilvl w:val="0"/>
          <w:numId w:val="1"/>
        </w:numPr>
        <w:spacing w:before="0" w:after="0"/>
        <w:rPr>
          <w:rFonts w:ascii="Verdana" w:hAnsi="Verdana" w:cs="Verdana"/>
          <w:sz w:val="20"/>
          <w:szCs w:val="20"/>
        </w:rPr>
      </w:pPr>
      <w:r>
        <w:rPr>
          <w:rFonts w:cs="Verdana" w:ascii="Verdana" w:hAnsi="Verdana"/>
          <w:sz w:val="20"/>
          <w:szCs w:val="20"/>
        </w:rPr>
        <w:t xml:space="preserve">Reduce costs. With some utilities having higher costs per transmission-mile than others, RTOs must assess where they can cut costs without sacrificing system reliability. </w:t>
      </w:r>
    </w:p>
    <w:p>
      <w:pPr>
        <w:pStyle w:val="Normal"/>
        <w:numPr>
          <w:ilvl w:val="0"/>
          <w:numId w:val="1"/>
        </w:numPr>
        <w:spacing w:before="0" w:after="0"/>
        <w:rPr>
          <w:rFonts w:ascii="Verdana" w:hAnsi="Verdana" w:cs="Verdana"/>
          <w:sz w:val="20"/>
          <w:szCs w:val="20"/>
        </w:rPr>
      </w:pPr>
      <w:r>
        <w:rPr>
          <w:rFonts w:cs="Verdana" w:ascii="Verdana" w:hAnsi="Verdana"/>
          <w:sz w:val="20"/>
          <w:szCs w:val="20"/>
        </w:rPr>
        <w:t xml:space="preserve">Invest in new technology. Processes and systems such as flexible Alternating Current Technology and super-conductivity are no longer just drawing board doodles. Demonstrations are ongoing in a number of locales. </w:t>
      </w:r>
    </w:p>
    <w:p>
      <w:pPr>
        <w:pStyle w:val="Normal"/>
        <w:numPr>
          <w:ilvl w:val="0"/>
          <w:numId w:val="1"/>
        </w:numPr>
        <w:spacing w:before="0" w:after="0"/>
        <w:rPr>
          <w:rFonts w:ascii="Verdana" w:hAnsi="Verdana" w:cs="Verdana"/>
          <w:sz w:val="20"/>
          <w:szCs w:val="20"/>
        </w:rPr>
      </w:pPr>
      <w:r>
        <w:rPr>
          <w:rFonts w:cs="Verdana" w:ascii="Verdana" w:hAnsi="Verdana"/>
          <w:sz w:val="20"/>
          <w:szCs w:val="20"/>
        </w:rPr>
        <w:t xml:space="preserve">Increase throughput. It's believed RTOs, which will have an incentive to push as many electrons as possible through their lines, could increase throughput by as much as 15%. Numbers such as that could catch investors' eyes. </w:t>
      </w:r>
    </w:p>
    <w:p>
      <w:pPr>
        <w:pStyle w:val="Normal"/>
        <w:numPr>
          <w:ilvl w:val="0"/>
          <w:numId w:val="1"/>
        </w:numPr>
        <w:spacing w:before="0" w:after="280"/>
        <w:rPr>
          <w:rFonts w:ascii="Verdana" w:hAnsi="Verdana" w:cs="Verdana"/>
          <w:sz w:val="20"/>
          <w:szCs w:val="20"/>
        </w:rPr>
      </w:pPr>
      <w:r>
        <w:rPr>
          <w:rFonts w:cs="Verdana" w:ascii="Verdana" w:hAnsi="Verdana"/>
          <w:sz w:val="20"/>
          <w:szCs w:val="20"/>
        </w:rPr>
        <w:t xml:space="preserve">Optimize rights-of-way. Those strips of land through which wires are laid can be used for other networks, including fiber optic, water, telecommunications, even natural gas. </w:t>
      </w:r>
    </w:p>
    <w:p>
      <w:pPr>
        <w:pStyle w:val="NormalWeb"/>
        <w:spacing w:before="0" w:after="0"/>
        <w:rPr>
          <w:rFonts w:ascii="Verdana" w:hAnsi="Verdana" w:cs="Verdana"/>
          <w:sz w:val="20"/>
          <w:szCs w:val="20"/>
        </w:rPr>
      </w:pPr>
      <w:r>
        <w:rPr>
          <w:rFonts w:cs="Verdana" w:ascii="Verdana" w:hAnsi="Verdana"/>
          <w:sz w:val="20"/>
          <w:szCs w:val="20"/>
        </w:rPr>
        <w:t xml:space="preserve">"You want to create profits by operating systems more efficiently," Boston-Pacific's Roach said. "Performance-based ratemaking also is being proposed." </w:t>
      </w:r>
    </w:p>
    <w:p>
      <w:pPr>
        <w:pStyle w:val="NormalWeb"/>
        <w:spacing w:before="0" w:after="0"/>
        <w:rPr>
          <w:rFonts w:ascii="Verdana" w:hAnsi="Verdana" w:cs="Verdana"/>
          <w:sz w:val="20"/>
          <w:szCs w:val="20"/>
        </w:rPr>
      </w:pPr>
      <w:r>
        <w:rPr>
          <w:rFonts w:cs="Verdana" w:ascii="Verdana" w:hAnsi="Verdana"/>
          <w:sz w:val="20"/>
          <w:szCs w:val="20"/>
        </w:rPr>
        <w:t xml:space="preserve">To achieve efficiencies, utilities—and most companies—look toward gaining scale. Growing. RTOs will be no different, according to Roseman. </w:t>
      </w:r>
    </w:p>
    <w:p>
      <w:pPr>
        <w:pStyle w:val="NormalWeb"/>
        <w:spacing w:before="0" w:after="0"/>
        <w:rPr>
          <w:rFonts w:ascii="Verdana" w:hAnsi="Verdana" w:cs="Verdana"/>
          <w:sz w:val="20"/>
          <w:szCs w:val="20"/>
        </w:rPr>
      </w:pPr>
      <w:r>
        <w:rPr>
          <w:rFonts w:cs="Verdana" w:ascii="Verdana" w:hAnsi="Verdana"/>
          <w:sz w:val="20"/>
          <w:szCs w:val="20"/>
        </w:rPr>
        <w:t xml:space="preserve">"We will see more shifting (of members) among RTOs and there will be combinations between RTOs; we will have fewer than the number we have proposed now," he said. </w:t>
      </w:r>
    </w:p>
    <w:p>
      <w:pPr>
        <w:pStyle w:val="NormalWeb"/>
        <w:spacing w:before="0" w:after="0"/>
        <w:rPr>
          <w:rFonts w:ascii="Verdana" w:hAnsi="Verdana" w:cs="Verdana"/>
          <w:sz w:val="20"/>
          <w:szCs w:val="20"/>
        </w:rPr>
      </w:pPr>
      <w:r>
        <w:rPr>
          <w:rFonts w:cs="Verdana" w:ascii="Verdana" w:hAnsi="Verdana"/>
          <w:sz w:val="20"/>
          <w:szCs w:val="20"/>
        </w:rPr>
        <w:t xml:space="preserve">Not only will members play musical RTOs, but FERC, too, will have its hand in how the transmission organizations finally look. Roseman said the commission currently is looking at the various RTO filings made by the Oct. 15 deadline, culling from them the best attributes, which it will then try to move to all concerned. </w:t>
      </w:r>
    </w:p>
    <w:p>
      <w:pPr>
        <w:pStyle w:val="NormalWeb"/>
        <w:spacing w:before="0" w:after="0"/>
        <w:rPr>
          <w:rFonts w:ascii="Verdana" w:hAnsi="Verdana" w:cs="Verdana"/>
          <w:sz w:val="20"/>
          <w:szCs w:val="20"/>
        </w:rPr>
      </w:pPr>
      <w:r>
        <w:rPr>
          <w:rFonts w:cs="Verdana" w:ascii="Verdana" w:hAnsi="Verdana"/>
          <w:sz w:val="20"/>
          <w:szCs w:val="20"/>
        </w:rPr>
        <w:t xml:space="preserve">"There probably will be another round of (RTO) filings after FERC identifies gaps it sees in the first filings," Roseman said. "That could take a couple years. The Dec. 15, 2001, date (when FERC wants RTOs in place) is just a benchmark." </w:t>
      </w:r>
    </w:p>
    <w:p>
      <w:pPr>
        <w:pStyle w:val="NormalWeb"/>
        <w:spacing w:before="0" w:after="0"/>
        <w:jc w:val="center"/>
        <w:rPr/>
      </w:pPr>
      <w:hyperlink r:id="rId6">
        <w:r>
          <w:rPr>
            <w:rStyle w:val="Hyperlink"/>
            <w:rFonts w:cs="Verdana" w:ascii="Verdana" w:hAnsi="Verdana"/>
            <w:b/>
            <w:bCs/>
            <w:sz w:val="20"/>
            <w:szCs w:val="20"/>
          </w:rPr>
          <w:t>Previous Analysis</w:t>
        </w:r>
        <w:r>
          <w:rPr>
            <w:rStyle w:val="Hyperlink"/>
            <w:rFonts w:cs="Verdana" w:ascii="Verdana" w:hAnsi="Verdana"/>
            <w:sz w:val="20"/>
            <w:szCs w:val="20"/>
          </w:rPr>
          <w:t xml:space="preserve"> </w:t>
        </w:r>
      </w:hyperlink>
    </w:p>
    <w:tbl>
      <w:tblPr>
        <w:tblW w:w="5000" w:type="pct"/>
        <w:jc w:val="start"/>
        <w:tblInd w:w="-15" w:type="dxa"/>
        <w:tblLayout w:type="fixed"/>
        <w:tblCellMar>
          <w:top w:w="15" w:type="dxa"/>
          <w:start w:w="15" w:type="dxa"/>
          <w:bottom w:w="15" w:type="dxa"/>
          <w:end w:w="15" w:type="dxa"/>
        </w:tblCellMar>
      </w:tblPr>
      <w:tblGrid>
        <w:gridCol w:w="8640"/>
      </w:tblGrid>
      <w:tr>
        <w:trPr/>
        <w:tc>
          <w:tcPr>
            <w:tcW w:w="8640" w:type="dxa"/>
            <w:tcBorders/>
            <w:vAlign w:val="center"/>
          </w:tcPr>
          <w:p>
            <w:pPr>
              <w:pStyle w:val="Normal"/>
              <w:jc w:val="center"/>
              <w:rPr>
                <w:rFonts w:ascii="Arial Unicode MS" w:hAnsi="Arial Unicode MS" w:eastAsia="Arial Unicode MS" w:cs="Arial Unicode MS"/>
              </w:rPr>
            </w:pPr>
            <w:r>
              <w:fldChar w:fldCharType="begin"/>
            </w:r>
            <w:r>
              <w:rPr>
                <w:rStyle w:val="Hyperlink"/>
                <w:sz w:val="20"/>
                <w:b/>
                <w:szCs w:val="20"/>
                <w:bCs/>
                <w:rFonts w:cs="Verdana" w:ascii="Verdana" w:hAnsi="Verdana"/>
              </w:rPr>
              <w:instrText xml:space="preserve"> HYPERLINK "http://public.resdata.com/ei_modules/current/main.asp" \l "top"</w:instrText>
            </w:r>
            <w:r>
              <w:rPr>
                <w:rStyle w:val="Hyperlink"/>
                <w:sz w:val="20"/>
                <w:b/>
                <w:szCs w:val="20"/>
                <w:bCs/>
                <w:rFonts w:cs="Verdana" w:ascii="Verdana" w:hAnsi="Verdana"/>
              </w:rPr>
              <w:fldChar w:fldCharType="separate"/>
            </w:r>
            <w:r>
              <w:rPr>
                <w:rStyle w:val="Hyperlink"/>
                <w:rFonts w:cs="Verdana" w:ascii="Verdana" w:hAnsi="Verdana"/>
                <w:b/>
                <w:bCs/>
                <w:sz w:val="20"/>
                <w:szCs w:val="20"/>
              </w:rPr>
              <w:t>Beginning of Story</w:t>
            </w:r>
            <w:r>
              <w:rPr>
                <w:rStyle w:val="Hyperlink"/>
                <w:sz w:val="20"/>
                <w:b/>
                <w:szCs w:val="20"/>
                <w:bCs/>
                <w:rFonts w:cs="Verdana" w:ascii="Verdana" w:hAnsi="Verdana"/>
              </w:rPr>
              <w:fldChar w:fldCharType="end"/>
            </w:r>
            <w:r>
              <w:rPr>
                <w:rFonts w:cs="Verdana" w:ascii="Verdana" w:hAnsi="Verdana"/>
                <w:sz w:val="20"/>
                <w:szCs w:val="20"/>
              </w:rPr>
              <w:t xml:space="preserve"> </w:t>
              <w:br/>
              <w:br/>
            </w:r>
            <w:r>
              <w:rPr>
                <w:rFonts w:cs="Verdana" w:ascii="Verdana" w:hAnsi="Verdana"/>
                <w:b/>
                <w:bCs/>
                <w:sz w:val="20"/>
                <w:szCs w:val="20"/>
              </w:rPr>
              <w:t xml:space="preserve">Please </w:t>
            </w:r>
            <w:hyperlink r:id="rId7">
              <w:r>
                <w:rPr>
                  <w:rStyle w:val="Hyperlink"/>
                  <w:rFonts w:cs="Verdana" w:ascii="Verdana" w:hAnsi="Verdana"/>
                  <w:b/>
                  <w:bCs/>
                  <w:sz w:val="20"/>
                  <w:szCs w:val="20"/>
                </w:rPr>
                <w:t>let us know</w:t>
              </w:r>
            </w:hyperlink>
            <w:r>
              <w:rPr>
                <w:rFonts w:cs="Verdana" w:ascii="Verdana" w:hAnsi="Verdana"/>
                <w:b/>
                <w:bCs/>
                <w:sz w:val="20"/>
                <w:szCs w:val="20"/>
              </w:rPr>
              <w:t xml:space="preserve"> what you think of Energy Insight. Your feedback is always appreciated.</w:t>
            </w:r>
            <w:r>
              <w:rPr>
                <w:rFonts w:cs="Verdana" w:ascii="Verdana" w:hAnsi="Verdana"/>
                <w:sz w:val="20"/>
                <w:szCs w:val="20"/>
              </w:rPr>
              <w:t xml:space="preserve"> </w:t>
            </w:r>
          </w:p>
        </w:tc>
      </w:tr>
    </w:tbl>
    <w:p>
      <w:pPr>
        <w:pStyle w:val="Normal"/>
        <w:spacing w:before="0" w:after="240"/>
        <w:rPr/>
      </w:pPr>
      <w:r>
        <w:rPr/>
      </w:r>
    </w:p>
    <w:p>
      <w:pPr>
        <w:pStyle w:val="NormalWeb"/>
        <w:spacing w:before="0" w:after="0"/>
        <w:jc w:val="center"/>
        <w:rPr/>
      </w:pPr>
      <w:hyperlink r:id="rId8">
        <w:r>
          <w:rPr>
            <w:rStyle w:val="Hyperlink"/>
            <w:rFonts w:cs="Verdana" w:ascii="Verdana" w:hAnsi="Verdana"/>
            <w:sz w:val="15"/>
            <w:szCs w:val="15"/>
          </w:rPr>
          <w:t>Copyright © 2000 - Financial Times Energy. All Rights Reserved</w:t>
        </w:r>
      </w:hyperlink>
      <w:r>
        <w:rPr>
          <w:rFonts w:cs="Verdana" w:ascii="Verdana" w:hAnsi="Verdana"/>
          <w:sz w:val="15"/>
          <w:szCs w:val="15"/>
        </w:rPr>
        <w:t xml:space="preserve"> </w:t>
      </w:r>
    </w:p>
    <w:p>
      <w:pPr>
        <w:pStyle w:val="Normal"/>
        <w:rPr/>
      </w:pPr>
      <w:r>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stouffer@ftenergy.com" TargetMode="External"/><Relationship Id="rId4" Type="http://schemas.openxmlformats.org/officeDocument/2006/relationships/image" Target="media/image2.png"/><Relationship Id="rId5" Type="http://schemas.openxmlformats.org/officeDocument/2006/relationships/hyperlink" Target="file:///mnt/main-storage/datasets/enron-docs/doc/page1.asp" TargetMode="External"/><Relationship Id="rId6" Type="http://schemas.openxmlformats.org/officeDocument/2006/relationships/hyperlink" Target="http://public.resdata.com/archive/2000/11/16/main.asp" TargetMode="External"/><Relationship Id="rId7" Type="http://schemas.openxmlformats.org/officeDocument/2006/relationships/hyperlink" Target="http://public.resdata.com/ei_modules/Essentials/feedback.asp" TargetMode="External"/><Relationship Id="rId8" Type="http://schemas.openxmlformats.org/officeDocument/2006/relationships/hyperlink" Target="http://public.resdata.com/ei_modules/Essentials/copyright.asp"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2000-11-17T17:46:00Z</dcterms:created>
  <dc:creator>mbuster</dc:creator>
  <dc:description/>
  <dc:language>en-CA</dc:language>
  <cp:lastModifiedBy>mbuster</cp:lastModifiedBy>
  <dcterms:modified xsi:type="dcterms:W3CDTF">2000-11-17T17:52:00Z</dcterms:modified>
  <cp:revision>1</cp:revision>
  <dc:subject/>
  <dc:title>Friday, November 17, 2000 </dc:title>
</cp:coreProperties>
</file>