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Puget Sound Energy, Inc., a Washington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September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$50,000,000, or with respect to Customer, at any time, Customer shall have defaulted on its indebted</w:t>
        <w:softHyphen/>
        <w:t>ness to third parties, resulting in an acceleration of obligations of Customer in excess of $50,000,000.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$5,000,000, such Party as the Beneficiary Party may request the other Party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PUGET  SOUND  ENERGY,  INC.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/mnt/main-storage/datasets/enron-docs/doc/Puget_Sound_Energy.doc</w:t>
      </w:r>
      <w:r>
        <w:rPr>
          <w:sz w:val="16"/>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tion from the Delivery Point.</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Puget Sound Energy, Inc.</w:t>
      </w:r>
    </w:p>
    <w:p>
      <w:pPr>
        <w:pStyle w:val="Normal"/>
        <w:jc w:val="both"/>
        <w:rPr>
          <w:rFonts w:ascii="Arial Narrow" w:hAnsi="Arial Narrow" w:cs="Arial Narrow"/>
          <w:sz w:val="18"/>
        </w:rPr>
      </w:pPr>
      <w:r>
        <w:rPr>
          <w:rFonts w:cs="Arial Narrow" w:ascii="Arial Narrow" w:hAnsi="Arial Narrow"/>
          <w:sz w:val="18"/>
        </w:rPr>
        <w:t>Puget Power Building</w:t>
      </w:r>
    </w:p>
    <w:p>
      <w:pPr>
        <w:pStyle w:val="Normal"/>
        <w:jc w:val="both"/>
        <w:rPr>
          <w:rFonts w:ascii="Arial Narrow" w:hAnsi="Arial Narrow" w:cs="Arial Narrow"/>
          <w:sz w:val="18"/>
        </w:rPr>
      </w:pPr>
      <w:r>
        <w:rPr>
          <w:rFonts w:cs="Arial Narrow" w:ascii="Arial Narrow" w:hAnsi="Arial Narrow"/>
          <w:sz w:val="18"/>
        </w:rPr>
        <w:t>Bellevue, WA  98004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2000-09-28T12:20:00Z</dcterms:created>
  <dc:creator>dperlin</dc:creator>
  <dc:description/>
  <dc:language>en-CA</dc:language>
  <cp:lastModifiedBy>dperlin</cp:lastModifiedBy>
  <cp:lastPrinted>2000-09-28T12:02:00Z</cp:lastPrinted>
  <dcterms:modified xsi:type="dcterms:W3CDTF">2000-09-28T14:42:00Z</dcterms:modified>
  <cp:revision>6</cp:revision>
  <dc:subject/>
  <dc:title>ENFOLIO® MASTER FIRM PURCHASE/SALE AGREEMENT</dc:title>
</cp:coreProperties>
</file>