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90" w:end="0"/>
        <w:jc w:val="start"/>
        <w:rPr/>
      </w:pPr>
      <w:r>
        <w:rPr>
          <w:spacing w:val="-140"/>
          <w:sz w:val="72"/>
        </w:rPr>
        <w:drawing>
          <wp:inline distT="0" distB="0" distL="0" distR="0">
            <wp:extent cx="6179820" cy="727075"/>
            <wp:effectExtent l="0" t="0" r="0" b="0"/>
            <wp:docPr id="1" name="IEPA%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PA%20logo" descr="" title=""/>
                    <pic:cNvPicPr>
                      <a:picLocks noChangeAspect="1" noChangeArrowheads="1"/>
                    </pic:cNvPicPr>
                  </pic:nvPicPr>
                  <pic:blipFill>
                    <a:blip r:embed="rId2"/>
                    <a:srcRect l="-5" t="-39" r="-5" b="-39"/>
                    <a:stretch>
                      <a:fillRect/>
                    </a:stretch>
                  </pic:blipFill>
                  <pic:spPr bwMode="auto">
                    <a:xfrm>
                      <a:off x="0" y="0"/>
                      <a:ext cx="6179820" cy="727075"/>
                    </a:xfrm>
                    <a:prstGeom prst="rect">
                      <a:avLst/>
                    </a:prstGeom>
                    <a:noFill/>
                  </pic:spPr>
                </pic:pic>
              </a:graphicData>
            </a:graphic>
          </wp:inline>
        </w:drawing>
      </w:r>
      <w:r>
        <w:rPr>
          <w:b/>
          <w:sz w:val="24"/>
        </w:rPr>
        <w:t xml:space="preserve">                                                                                             </w:t>
      </w:r>
    </w:p>
    <w:p>
      <w:pPr>
        <w:pStyle w:val="Heading"/>
        <w:jc w:val="start"/>
        <w:rPr>
          <w:b/>
          <w:sz w:val="24"/>
        </w:rPr>
      </w:pPr>
      <w:r>
        <w:rPr>
          <w:b/>
          <w:sz w:val="24"/>
        </w:rPr>
      </w:r>
    </w:p>
    <w:p>
      <w:pPr>
        <w:pStyle w:val="Normal"/>
        <w:rPr>
          <w:b/>
          <w:sz w:val="26"/>
        </w:rPr>
      </w:pPr>
      <w:r>
        <w:rPr>
          <w:b/>
          <w:sz w:val="26"/>
        </w:rPr>
      </w:r>
    </w:p>
    <w:p>
      <w:pPr>
        <w:pStyle w:val="Normal"/>
        <w:rPr>
          <w:sz w:val="28"/>
        </w:rPr>
      </w:pPr>
      <w:r>
        <w:rPr>
          <w:sz w:val="28"/>
        </w:rPr>
        <w:t>To:</w:t>
        <w:tab/>
        <w:t xml:space="preserve"> IEP Board</w:t>
      </w:r>
    </w:p>
    <w:p>
      <w:pPr>
        <w:pStyle w:val="Normal"/>
        <w:rPr>
          <w:sz w:val="28"/>
        </w:rPr>
      </w:pPr>
      <w:r>
        <w:rPr>
          <w:sz w:val="28"/>
        </w:rPr>
        <w:tab/>
        <w:t xml:space="preserve"> 2000 Market Response Task Force</w:t>
      </w:r>
    </w:p>
    <w:p>
      <w:pPr>
        <w:pStyle w:val="Heading3"/>
        <w:ind w:hanging="0" w:start="0"/>
        <w:rPr>
          <w:szCs w:val="24"/>
        </w:rPr>
      </w:pPr>
      <w:r>
        <w:rPr>
          <w:szCs w:val="24"/>
        </w:rPr>
        <w:tab/>
        <w:t xml:space="preserve"> Interested members in the 2001 Public Affairs Committee</w:t>
      </w:r>
    </w:p>
    <w:p>
      <w:pPr>
        <w:pStyle w:val="Heading2"/>
        <w:ind w:hanging="0" w:start="0"/>
        <w:rPr/>
      </w:pPr>
      <w:r>
        <w:rPr>
          <w:b w:val="false"/>
          <w:bCs w:val="false"/>
          <w:sz w:val="28"/>
        </w:rPr>
        <w:t xml:space="preserve">From:  </w:t>
      </w:r>
      <w:r>
        <w:rPr>
          <w:b w:val="false"/>
          <w:bCs w:val="false"/>
          <w:sz w:val="28"/>
          <w:szCs w:val="24"/>
        </w:rPr>
        <w:t>Katie Kaplan, Manager of State Policy Affairs, IEP</w:t>
      </w:r>
    </w:p>
    <w:p>
      <w:pPr>
        <w:pStyle w:val="Normal"/>
        <w:rPr>
          <w:sz w:val="28"/>
        </w:rPr>
      </w:pPr>
      <w:r>
        <w:rPr>
          <w:sz w:val="28"/>
        </w:rPr>
        <w:t>Date:</w:t>
        <w:tab/>
        <w:t xml:space="preserve"> March 7, 2001</w:t>
      </w:r>
    </w:p>
    <w:p>
      <w:pPr>
        <w:pStyle w:val="Normal"/>
        <w:rPr>
          <w:sz w:val="28"/>
        </w:rPr>
      </w:pPr>
      <w:r>
        <w:rPr>
          <w:sz w:val="28"/>
        </w:rPr>
        <w:t>Cc:</w:t>
        <w:tab/>
        <w:t xml:space="preserve"> Jan Smutny-Jones, Executive Director, Steven Kelly, Policy Director,</w:t>
      </w:r>
    </w:p>
    <w:p>
      <w:pPr>
        <w:pStyle w:val="Normal"/>
        <w:rPr>
          <w:sz w:val="28"/>
        </w:rPr>
      </w:pPr>
      <w:r>
        <w:rPr>
          <w:sz w:val="28"/>
        </w:rPr>
        <w:tab/>
        <w:t xml:space="preserve"> Carol Hudson, Administrator</w:t>
      </w:r>
    </w:p>
    <w:p>
      <w:pPr>
        <w:pStyle w:val="Heading3"/>
        <w:ind w:hanging="0" w:start="0"/>
        <w:rPr>
          <w:b/>
          <w:bCs/>
          <w:sz w:val="24"/>
        </w:rPr>
      </w:pPr>
      <w:r>
        <w:rPr/>
        <w:t>RE:</w:t>
        <w:tab/>
        <w:t xml:space="preserve"> Information requested regarding outstanding issues</w:t>
      </w:r>
    </w:p>
    <w:p>
      <w:pPr>
        <w:pStyle w:val="Heading"/>
        <w:jc w:val="start"/>
        <w:rPr>
          <w:b/>
          <w:bCs/>
          <w:sz w:val="40"/>
          <w:lang w:val="en-CA" w:eastAsia="en-CA"/>
        </w:rPr>
      </w:pPr>
      <w:r>
        <w:rPr>
          <w:b/>
          <w:bCs/>
          <w:sz w:val="40"/>
          <w:lang w:val="en-CA" w:eastAsia="en-CA"/>
        </w:rPr>
        <mc:AlternateContent>
          <mc:Choice Requires="wps">
            <w:drawing>
              <wp:anchor behindDoc="0" distT="0" distB="0" distL="114935" distR="114935" simplePos="0" locked="0" layoutInCell="1" allowOverlap="1" relativeHeight="3">
                <wp:simplePos x="0" y="0"/>
                <wp:positionH relativeFrom="column">
                  <wp:posOffset>51435</wp:posOffset>
                </wp:positionH>
                <wp:positionV relativeFrom="paragraph">
                  <wp:posOffset>208915</wp:posOffset>
                </wp:positionV>
                <wp:extent cx="6057900" cy="0"/>
                <wp:effectExtent l="0" t="5080" r="0" b="5080"/>
                <wp:wrapNone/>
                <wp:docPr id="2" name=""/>
                <a:graphic xmlns:a="http://schemas.openxmlformats.org/drawingml/2006/main">
                  <a:graphicData uri="http://schemas.microsoft.com/office/word/2010/wordprocessingShape">
                    <wps:wsp>
                      <wps:cNvSpPr/>
                      <wps:spPr>
                        <a:xfrm>
                          <a:off x="0" y="0"/>
                          <a:ext cx="6058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05pt,16.45pt" to="481pt,16.45pt" stroked="t" o:allowincell="f" style="position:absolute">
                <v:stroke color="black" weight="9360" joinstyle="miter" endcap="flat"/>
                <v:fill o:detectmouseclick="t" on="false"/>
                <w10:wrap type="none"/>
              </v:line>
            </w:pict>
          </mc:Fallback>
        </mc:AlternateContent>
      </w:r>
    </w:p>
    <w:p>
      <w:pPr>
        <w:pStyle w:val="Normal"/>
        <w:rPr>
          <w:b/>
          <w:sz w:val="40"/>
        </w:rPr>
      </w:pPr>
      <w:r>
        <w:rPr>
          <w:b/>
          <w:sz w:val="40"/>
        </w:rPr>
      </w:r>
    </w:p>
    <w:p>
      <w:pPr>
        <w:pStyle w:val="Normal"/>
        <w:rPr/>
      </w:pPr>
      <w:r>
        <w:rPr/>
      </w:r>
    </w:p>
    <w:p>
      <w:pPr>
        <w:pStyle w:val="BodyText"/>
        <w:rPr/>
      </w:pPr>
      <w:r>
        <w:rPr/>
        <w:t>The IEP 2001 Public Affairs Task force held their first conference call on Monday March 5, 2001 to kick off the new committee.  Participants included representatives from Duke Energy, Reliant, PG&amp;E Gen, Williams, Dynegy, and Enron.  Although Calpine, Mirant, and Constellation did not participate on the call they have expressed a desire to continue to participate on the committee.</w:t>
      </w:r>
    </w:p>
    <w:p>
      <w:pPr>
        <w:pStyle w:val="Normal"/>
        <w:jc w:val="both"/>
        <w:rPr>
          <w:sz w:val="28"/>
        </w:rPr>
      </w:pPr>
      <w:r>
        <w:rPr>
          <w:sz w:val="28"/>
        </w:rPr>
      </w:r>
    </w:p>
    <w:p>
      <w:pPr>
        <w:pStyle w:val="Normal"/>
        <w:jc w:val="both"/>
        <w:rPr>
          <w:sz w:val="28"/>
        </w:rPr>
      </w:pPr>
      <w:r>
        <w:rPr>
          <w:sz w:val="28"/>
        </w:rPr>
        <w:t>During the call I was tasked with providing the committee several different items, which are now listed below including:</w:t>
      </w:r>
    </w:p>
    <w:p>
      <w:pPr>
        <w:pStyle w:val="Normal"/>
        <w:numPr>
          <w:ilvl w:val="0"/>
          <w:numId w:val="3"/>
        </w:numPr>
        <w:jc w:val="both"/>
        <w:rPr>
          <w:sz w:val="28"/>
        </w:rPr>
      </w:pPr>
      <w:r>
        <w:rPr>
          <w:sz w:val="28"/>
        </w:rPr>
        <w:t>Summary of Ongoing Activities</w:t>
      </w:r>
    </w:p>
    <w:p>
      <w:pPr>
        <w:pStyle w:val="Normal"/>
        <w:numPr>
          <w:ilvl w:val="0"/>
          <w:numId w:val="3"/>
        </w:numPr>
        <w:jc w:val="both"/>
        <w:rPr>
          <w:sz w:val="28"/>
        </w:rPr>
      </w:pPr>
      <w:r>
        <w:rPr>
          <w:sz w:val="28"/>
        </w:rPr>
        <w:t>Proposed budget</w:t>
      </w:r>
    </w:p>
    <w:p>
      <w:pPr>
        <w:pStyle w:val="Normal"/>
        <w:numPr>
          <w:ilvl w:val="1"/>
          <w:numId w:val="3"/>
        </w:numPr>
        <w:jc w:val="both"/>
        <w:rPr>
          <w:sz w:val="28"/>
        </w:rPr>
      </w:pPr>
      <w:r>
        <w:rPr>
          <w:sz w:val="28"/>
        </w:rPr>
        <w:t>Rollover amount from 2000</w:t>
      </w:r>
    </w:p>
    <w:p>
      <w:pPr>
        <w:pStyle w:val="Normal"/>
        <w:numPr>
          <w:ilvl w:val="1"/>
          <w:numId w:val="3"/>
        </w:numPr>
        <w:jc w:val="both"/>
        <w:rPr>
          <w:sz w:val="28"/>
        </w:rPr>
      </w:pPr>
      <w:r>
        <w:rPr>
          <w:sz w:val="28"/>
        </w:rPr>
        <w:t>Recommended level of funding</w:t>
      </w:r>
    </w:p>
    <w:p>
      <w:pPr>
        <w:pStyle w:val="Normal"/>
        <w:numPr>
          <w:ilvl w:val="0"/>
          <w:numId w:val="3"/>
        </w:numPr>
        <w:jc w:val="both"/>
        <w:rPr>
          <w:sz w:val="28"/>
        </w:rPr>
      </w:pPr>
      <w:r>
        <w:rPr>
          <w:sz w:val="28"/>
        </w:rPr>
        <w:t>Proposed Goals and Mission of the Committee</w:t>
      </w:r>
    </w:p>
    <w:p>
      <w:pPr>
        <w:pStyle w:val="Normal"/>
        <w:jc w:val="both"/>
        <w:rPr>
          <w:sz w:val="28"/>
        </w:rPr>
      </w:pPr>
      <w:r>
        <w:rPr>
          <w:sz w:val="28"/>
        </w:rPr>
      </w:r>
    </w:p>
    <w:p>
      <w:pPr>
        <w:pStyle w:val="Normal"/>
        <w:jc w:val="both"/>
        <w:rPr>
          <w:sz w:val="28"/>
        </w:rPr>
      </w:pPr>
      <w:r>
        <w:rPr>
          <w:sz w:val="28"/>
        </w:rPr>
        <w:t xml:space="preserve">As committed to on Monday we will hold a follow-up call on Monday March 12, 2001 at 1:00 p.m. PST.  </w:t>
      </w:r>
    </w:p>
    <w:p>
      <w:pPr>
        <w:pStyle w:val="Normal"/>
        <w:jc w:val="both"/>
        <w:rPr>
          <w:sz w:val="28"/>
        </w:rPr>
      </w:pPr>
      <w:r>
        <w:rPr>
          <w:sz w:val="28"/>
        </w:rPr>
      </w:r>
    </w:p>
    <w:p>
      <w:pPr>
        <w:pStyle w:val="Normal"/>
        <w:jc w:val="both"/>
        <w:rPr/>
      </w:pPr>
      <w:r>
        <w:rPr>
          <w:b/>
          <w:bCs/>
          <w:sz w:val="28"/>
        </w:rPr>
        <w:t>The call-in number is:</w:t>
        <w:tab/>
      </w:r>
      <w:r>
        <w:rPr>
          <w:rFonts w:cs="Tahoma" w:ascii="Tahoma" w:hAnsi="Tahoma"/>
          <w:b/>
          <w:bCs/>
        </w:rPr>
        <w:t>1-800-486-2460</w:t>
        <w:tab/>
        <w:t xml:space="preserve">The Pass-code is: </w:t>
        <w:tab/>
        <w:t>120895</w:t>
      </w:r>
    </w:p>
    <w:p>
      <w:pPr>
        <w:pStyle w:val="Normal"/>
        <w:autoSpaceDE w:val="false"/>
        <w:rPr>
          <w:rFonts w:ascii="Tahoma" w:hAnsi="Tahoma" w:cs="Tahoma"/>
          <w:b/>
          <w:bCs/>
        </w:rPr>
      </w:pPr>
      <w:r>
        <w:rPr>
          <w:rFonts w:cs="Tahoma" w:ascii="Tahoma" w:hAnsi="Tahoma"/>
          <w:b/>
          <w:bCs/>
        </w:rPr>
      </w:r>
    </w:p>
    <w:p>
      <w:pPr>
        <w:pStyle w:val="Normal"/>
        <w:autoSpaceDE w:val="false"/>
        <w:rPr>
          <w:rFonts w:ascii="Tahoma" w:hAnsi="Tahoma" w:cs="Tahoma"/>
        </w:rPr>
      </w:pPr>
      <w:r>
        <w:rPr>
          <w:rFonts w:cs="Tahoma" w:ascii="Tahoma" w:hAnsi="Tahoma"/>
        </w:rPr>
      </w:r>
    </w:p>
    <w:p>
      <w:pPr>
        <w:pStyle w:val="Normal"/>
        <w:rPr>
          <w:rFonts w:ascii="Tahoma" w:hAnsi="Tahoma" w:cs="Tahoma"/>
          <w:sz w:val="28"/>
        </w:rPr>
      </w:pPr>
      <w:r>
        <w:rPr>
          <w:rFonts w:cs="Tahoma" w:ascii="Tahoma" w:hAnsi="Tahoma"/>
          <w:sz w:val="28"/>
        </w:rPr>
      </w:r>
    </w:p>
    <w:p>
      <w:pPr>
        <w:pStyle w:val="Normal"/>
        <w:rPr>
          <w:sz w:val="28"/>
        </w:rPr>
      </w:pPr>
      <w:r>
        <w:rPr>
          <w:sz w:val="28"/>
        </w:rPr>
      </w:r>
    </w:p>
    <w:p>
      <w:pPr>
        <w:pStyle w:val="Normal"/>
        <w:rPr>
          <w:sz w:val="28"/>
        </w:rPr>
      </w:pPr>
      <w:r>
        <w:rPr>
          <w:sz w:val="28"/>
        </w:rPr>
      </w:r>
    </w:p>
    <w:p>
      <w:pPr>
        <w:pStyle w:val="Normal"/>
        <w:rPr>
          <w:b/>
          <w:bCs/>
          <w:sz w:val="28"/>
        </w:rPr>
      </w:pPr>
      <w:r>
        <w:rPr>
          <w:b/>
          <w:bCs/>
          <w:sz w:val="28"/>
        </w:rPr>
        <w:t>Summary of Ongoing Activities:</w:t>
      </w:r>
    </w:p>
    <w:p>
      <w:pPr>
        <w:pStyle w:val="Normal"/>
        <w:rPr>
          <w:b/>
          <w:bCs/>
          <w:sz w:val="28"/>
        </w:rPr>
      </w:pPr>
      <w:r>
        <w:rPr>
          <w:b/>
          <w:bCs/>
          <w:sz w:val="28"/>
        </w:rPr>
      </w:r>
    </w:p>
    <w:p>
      <w:pPr>
        <w:pStyle w:val="Normal"/>
        <w:numPr>
          <w:ilvl w:val="0"/>
          <w:numId w:val="2"/>
        </w:numPr>
        <w:rPr>
          <w:sz w:val="28"/>
        </w:rPr>
      </w:pPr>
      <w:r>
        <w:rPr>
          <w:sz w:val="28"/>
        </w:rPr>
        <w:t>Web-site — www.turnonthetruth.com</w:t>
      </w:r>
    </w:p>
    <w:p>
      <w:pPr>
        <w:pStyle w:val="Normal"/>
        <w:numPr>
          <w:ilvl w:val="0"/>
          <w:numId w:val="2"/>
        </w:numPr>
        <w:rPr>
          <w:sz w:val="28"/>
        </w:rPr>
      </w:pPr>
      <w:r>
        <w:rPr>
          <w:sz w:val="28"/>
        </w:rPr>
        <w:t>Rough and Tumble Ad — www.rtumble.com</w:t>
      </w:r>
    </w:p>
    <w:p>
      <w:pPr>
        <w:pStyle w:val="Normal"/>
        <w:numPr>
          <w:ilvl w:val="0"/>
          <w:numId w:val="2"/>
        </w:numPr>
        <w:rPr>
          <w:sz w:val="28"/>
        </w:rPr>
      </w:pPr>
      <w:r>
        <w:rPr>
          <w:sz w:val="28"/>
        </w:rPr>
        <w:t>Seeing the Light Update — First draft done and being reviewed by Public Affairs Committee. Upon completion, it will be distributed to legislature, capitol press corps, editorial writers and energy reporters statewide. We will also use it to spur several editorial boards.</w:t>
      </w:r>
    </w:p>
    <w:p>
      <w:pPr>
        <w:pStyle w:val="Normal"/>
        <w:numPr>
          <w:ilvl w:val="0"/>
          <w:numId w:val="2"/>
        </w:numPr>
        <w:rPr>
          <w:b/>
          <w:sz w:val="28"/>
        </w:rPr>
      </w:pPr>
      <w:r>
        <w:rPr>
          <w:sz w:val="28"/>
        </w:rPr>
        <w:t xml:space="preserve">Weekly distributions— to both Capitol Press Core and Legislature  </w:t>
      </w:r>
    </w:p>
    <w:p>
      <w:pPr>
        <w:pStyle w:val="Normal"/>
        <w:numPr>
          <w:ilvl w:val="0"/>
          <w:numId w:val="2"/>
        </w:numPr>
        <w:rPr>
          <w:b/>
          <w:sz w:val="28"/>
        </w:rPr>
      </w:pPr>
      <w:r>
        <w:rPr>
          <w:sz w:val="28"/>
        </w:rPr>
        <w:t>The Power In Your District (distribution of specific resources within each members district)</w:t>
      </w:r>
    </w:p>
    <w:p>
      <w:pPr>
        <w:pStyle w:val="Normal"/>
        <w:numPr>
          <w:ilvl w:val="0"/>
          <w:numId w:val="2"/>
        </w:numPr>
        <w:rPr>
          <w:b/>
          <w:sz w:val="28"/>
        </w:rPr>
      </w:pPr>
      <w:r>
        <w:rPr>
          <w:sz w:val="28"/>
        </w:rPr>
        <w:t>IEP Press folders</w:t>
      </w:r>
    </w:p>
    <w:p>
      <w:pPr>
        <w:pStyle w:val="Normal"/>
        <w:numPr>
          <w:ilvl w:val="0"/>
          <w:numId w:val="2"/>
        </w:numPr>
        <w:rPr>
          <w:sz w:val="28"/>
        </w:rPr>
      </w:pPr>
      <w:r>
        <w:rPr>
          <w:sz w:val="28"/>
        </w:rPr>
        <w:t xml:space="preserve">QF distribution series </w:t>
      </w:r>
    </w:p>
    <w:p>
      <w:pPr>
        <w:pStyle w:val="Normal"/>
        <w:numPr>
          <w:ilvl w:val="0"/>
          <w:numId w:val="2"/>
        </w:numPr>
        <w:rPr>
          <w:sz w:val="28"/>
        </w:rPr>
      </w:pPr>
      <w:r>
        <w:rPr>
          <w:sz w:val="28"/>
        </w:rPr>
        <w:t>California Journal Ads (We have committed to these ads for the year) April ad is now pending</w:t>
      </w:r>
    </w:p>
    <w:p>
      <w:pPr>
        <w:pStyle w:val="Normal"/>
        <w:numPr>
          <w:ilvl w:val="0"/>
          <w:numId w:val="2"/>
        </w:numPr>
        <w:rPr>
          <w:sz w:val="28"/>
        </w:rPr>
      </w:pPr>
      <w:r>
        <w:rPr>
          <w:sz w:val="28"/>
        </w:rPr>
        <w:t>Polling and monitoring of previous polls in conjunction with a couple specific companies</w:t>
      </w:r>
    </w:p>
    <w:p>
      <w:pPr>
        <w:pStyle w:val="Normal"/>
        <w:rPr>
          <w:b/>
          <w:sz w:val="28"/>
        </w:rPr>
      </w:pPr>
      <w:r>
        <w:rPr>
          <w:b/>
          <w:sz w:val="28"/>
        </w:rPr>
      </w:r>
    </w:p>
    <w:p>
      <w:pPr>
        <w:pStyle w:val="Normal"/>
        <w:rPr>
          <w:b/>
          <w:sz w:val="28"/>
        </w:rPr>
      </w:pPr>
      <w:r>
        <w:rPr>
          <w:b/>
          <w:sz w:val="28"/>
        </w:rPr>
        <w:t>Budget Recommendations</w:t>
      </w:r>
    </w:p>
    <w:p>
      <w:pPr>
        <w:pStyle w:val="Normal"/>
        <w:rPr>
          <w:b/>
          <w:sz w:val="28"/>
        </w:rPr>
      </w:pPr>
      <w:r>
        <w:rPr>
          <w:b/>
          <w:sz w:val="28"/>
        </w:rPr>
      </w:r>
    </w:p>
    <w:p>
      <w:pPr>
        <w:pStyle w:val="Normal"/>
        <w:numPr>
          <w:ilvl w:val="0"/>
          <w:numId w:val="5"/>
        </w:numPr>
        <w:rPr>
          <w:b/>
          <w:sz w:val="28"/>
        </w:rPr>
      </w:pPr>
      <w:r>
        <w:rPr>
          <w:bCs/>
          <w:sz w:val="28"/>
        </w:rPr>
        <w:t>The residual budget for 2000 is $154,000.</w:t>
      </w:r>
    </w:p>
    <w:p>
      <w:pPr>
        <w:pStyle w:val="Normal"/>
        <w:numPr>
          <w:ilvl w:val="0"/>
          <w:numId w:val="5"/>
        </w:numPr>
        <w:rPr>
          <w:b/>
          <w:sz w:val="28"/>
        </w:rPr>
      </w:pPr>
      <w:r>
        <w:rPr>
          <w:bCs/>
          <w:sz w:val="28"/>
        </w:rPr>
        <w:t>The estimated costs incurred for January, February and March is $60,000-$70,000 which would leave us approximately $84,000 to apply toward the 2001 budget.</w:t>
      </w:r>
    </w:p>
    <w:p>
      <w:pPr>
        <w:pStyle w:val="Normal"/>
        <w:rPr>
          <w:b/>
          <w:bCs/>
          <w:sz w:val="28"/>
        </w:rPr>
      </w:pPr>
      <w:r>
        <w:rPr>
          <w:b/>
          <w:bCs/>
          <w:sz w:val="28"/>
        </w:rPr>
      </w:r>
    </w:p>
    <w:p>
      <w:pPr>
        <w:pStyle w:val="Normal"/>
        <w:rPr>
          <w:bCs/>
          <w:sz w:val="28"/>
        </w:rPr>
      </w:pPr>
      <w:r>
        <w:rPr>
          <w:bCs/>
          <w:sz w:val="28"/>
        </w:rPr>
        <w:t>Below please find some proposed budget suggestions for 2001:</w:t>
      </w:r>
    </w:p>
    <w:p>
      <w:pPr>
        <w:pStyle w:val="Normal"/>
        <w:rPr>
          <w:bCs/>
          <w:sz w:val="28"/>
        </w:rPr>
      </w:pPr>
      <w:r>
        <w:rPr>
          <w:bCs/>
          <w:sz w:val="28"/>
        </w:rPr>
      </w:r>
    </w:p>
    <w:p>
      <w:pPr>
        <w:pStyle w:val="Normal"/>
        <w:rPr>
          <w:sz w:val="28"/>
        </w:rPr>
      </w:pPr>
      <w:r>
        <w:rPr>
          <w:sz w:val="28"/>
        </w:rPr>
        <w:t>PR Retainer</w:t>
        <w:tab/>
        <w:tab/>
        <w:tab/>
        <w:tab/>
        <w:tab/>
        <w:tab/>
        <w:tab/>
        <w:tab/>
        <w:t>$120,000</w:t>
      </w:r>
    </w:p>
    <w:p>
      <w:pPr>
        <w:pStyle w:val="Heading3"/>
        <w:ind w:hanging="0" w:start="0"/>
        <w:rPr>
          <w:szCs w:val="24"/>
        </w:rPr>
      </w:pPr>
      <w:r>
        <w:rPr>
          <w:szCs w:val="24"/>
        </w:rPr>
        <w:t>PR Related Materials</w:t>
        <w:tab/>
        <w:tab/>
        <w:tab/>
        <w:tab/>
        <w:tab/>
        <w:tab/>
        <w:t>$100,000</w:t>
      </w:r>
    </w:p>
    <w:p>
      <w:pPr>
        <w:pStyle w:val="Heading3"/>
        <w:ind w:hanging="0" w:start="0"/>
        <w:rPr>
          <w:szCs w:val="24"/>
        </w:rPr>
      </w:pPr>
      <w:r>
        <w:rPr/>
        <w:t>Technical Support</w:t>
        <w:tab/>
        <w:tab/>
        <w:tab/>
        <w:tab/>
        <w:tab/>
        <w:tab/>
        <w:tab/>
        <w:t>$100,000</w:t>
      </w:r>
    </w:p>
    <w:p>
      <w:pPr>
        <w:pStyle w:val="Heading3"/>
        <w:ind w:hanging="0" w:start="0"/>
        <w:rPr>
          <w:szCs w:val="24"/>
        </w:rPr>
      </w:pPr>
      <w:r>
        <w:rPr>
          <w:szCs w:val="24"/>
        </w:rPr>
        <w:t>Polling/Focus Groups</w:t>
        <w:tab/>
        <w:tab/>
        <w:tab/>
        <w:tab/>
        <w:tab/>
        <w:tab/>
        <w:t>$60,000</w:t>
      </w:r>
    </w:p>
    <w:p>
      <w:pPr>
        <w:pStyle w:val="Heading3"/>
        <w:ind w:hanging="0" w:start="0"/>
        <w:rPr>
          <w:szCs w:val="24"/>
        </w:rPr>
      </w:pPr>
      <w:r>
        <w:rPr>
          <w:szCs w:val="24"/>
        </w:rPr>
        <w:t>Committed Ads (California Journal/ Rough &amp; Tumble)</w:t>
        <w:tab/>
        <w:t>$50,000</w:t>
      </w:r>
    </w:p>
    <w:p>
      <w:pPr>
        <w:pStyle w:val="Normal"/>
        <w:rPr>
          <w:sz w:val="28"/>
        </w:rPr>
      </w:pPr>
      <w:r>
        <w:rPr>
          <w:sz w:val="28"/>
        </w:rPr>
        <w:t xml:space="preserve">Database development </w:t>
        <w:tab/>
        <w:tab/>
        <w:tab/>
        <w:tab/>
        <w:tab/>
        <w:tab/>
        <w:t>$20,000</w:t>
      </w:r>
    </w:p>
    <w:p>
      <w:pPr>
        <w:pStyle w:val="Heading5"/>
        <w:ind w:hanging="0" w:start="0"/>
        <w:rPr/>
      </w:pPr>
      <w:r>
        <w:rPr/>
        <w:t>Administrative issues (conference calls etc)</w:t>
        <w:tab/>
        <w:tab/>
        <w:tab/>
        <w:t>$15,000</w:t>
      </w:r>
    </w:p>
    <w:p>
      <w:pPr>
        <w:pStyle w:val="Heading6"/>
        <w:ind w:hanging="0" w:start="0"/>
        <w:rPr/>
      </w:pPr>
      <w:r>
        <w:rPr/>
        <w:t>Total:</w:t>
        <w:tab/>
        <w:tab/>
        <w:tab/>
        <w:tab/>
        <w:tab/>
        <w:tab/>
        <w:tab/>
        <w:tab/>
        <w:t>$465,000</w:t>
      </w:r>
    </w:p>
    <w:p>
      <w:pPr>
        <w:pStyle w:val="Normal"/>
        <w:rPr>
          <w:sz w:val="28"/>
        </w:rPr>
      </w:pPr>
      <w:r>
        <w:rPr>
          <w:sz w:val="28"/>
        </w:rPr>
      </w:r>
    </w:p>
    <w:p>
      <w:pPr>
        <w:pStyle w:val="Normal"/>
        <w:rPr>
          <w:sz w:val="28"/>
        </w:rPr>
      </w:pPr>
      <w:r>
        <w:rPr>
          <w:sz w:val="28"/>
        </w:rPr>
        <w:t>The recommendation is that whatever the approved budget may be it should be allocated on a pro-rata basis to the participants of the Public Affairs Committee.</w:t>
      </w:r>
    </w:p>
    <w:p>
      <w:pPr>
        <w:pStyle w:val="Footer"/>
        <w:tabs>
          <w:tab w:val="clear" w:pos="4320"/>
          <w:tab w:val="clear" w:pos="8640"/>
        </w:tabs>
        <w:rPr>
          <w:rFonts w:ascii="Times New Roman" w:hAnsi="Times New Roman" w:cs="Times New Roman"/>
          <w:b/>
          <w:bCs/>
          <w:sz w:val="28"/>
          <w:szCs w:val="24"/>
        </w:rPr>
      </w:pPr>
      <w:r>
        <w:rPr>
          <w:rFonts w:cs="Times New Roman" w:ascii="Times New Roman" w:hAnsi="Times New Roman"/>
          <w:b/>
          <w:bCs/>
          <w:sz w:val="28"/>
          <w:szCs w:val="24"/>
        </w:rPr>
        <w:t>Goals and Mission of the Committee</w:t>
      </w:r>
    </w:p>
    <w:p>
      <w:pPr>
        <w:pStyle w:val="Footer"/>
        <w:tabs>
          <w:tab w:val="clear" w:pos="4320"/>
          <w:tab w:val="clear" w:pos="8640"/>
        </w:tabs>
        <w:rPr>
          <w:rFonts w:ascii="Times New Roman" w:hAnsi="Times New Roman" w:cs="Times New Roman"/>
          <w:b/>
          <w:bCs/>
          <w:sz w:val="28"/>
          <w:szCs w:val="24"/>
        </w:rPr>
      </w:pPr>
      <w:r>
        <w:rPr>
          <w:rFonts w:cs="Times New Roman" w:ascii="Times New Roman" w:hAnsi="Times New Roman"/>
          <w:b/>
          <w:bCs/>
          <w:sz w:val="28"/>
          <w:szCs w:val="24"/>
        </w:rPr>
      </w:r>
    </w:p>
    <w:p>
      <w:pPr>
        <w:pStyle w:val="Footer"/>
        <w:tabs>
          <w:tab w:val="clear" w:pos="4320"/>
          <w:tab w:val="clear" w:pos="8640"/>
        </w:tabs>
        <w:rPr>
          <w:rFonts w:ascii="Times New Roman" w:hAnsi="Times New Roman" w:cs="Times New Roman"/>
          <w:sz w:val="28"/>
          <w:szCs w:val="24"/>
        </w:rPr>
      </w:pPr>
      <w:r>
        <w:rPr>
          <w:rFonts w:cs="Times New Roman" w:ascii="Times New Roman" w:hAnsi="Times New Roman"/>
          <w:sz w:val="28"/>
          <w:szCs w:val="24"/>
        </w:rPr>
        <w:t>Below please find a couple bullets that will assist us in developing an overall statement</w:t>
      </w:r>
    </w:p>
    <w:p>
      <w:pPr>
        <w:pStyle w:val="Footer"/>
        <w:tabs>
          <w:tab w:val="clear" w:pos="4320"/>
          <w:tab w:val="clear" w:pos="8640"/>
        </w:tabs>
        <w:rPr>
          <w:rFonts w:ascii="Times New Roman" w:hAnsi="Times New Roman" w:cs="Times New Roman"/>
          <w:sz w:val="28"/>
          <w:szCs w:val="24"/>
        </w:rPr>
      </w:pPr>
      <w:r>
        <w:rPr>
          <w:rFonts w:cs="Times New Roman" w:ascii="Times New Roman" w:hAnsi="Times New Roman"/>
          <w:sz w:val="28"/>
          <w:szCs w:val="24"/>
        </w:rPr>
      </w:r>
    </w:p>
    <w:p>
      <w:pPr>
        <w:pStyle w:val="Footer"/>
        <w:numPr>
          <w:ilvl w:val="0"/>
          <w:numId w:val="4"/>
        </w:numPr>
        <w:tabs>
          <w:tab w:val="clear" w:pos="4320"/>
          <w:tab w:val="clear" w:pos="8640"/>
        </w:tabs>
        <w:rPr>
          <w:rFonts w:ascii="Times New Roman" w:hAnsi="Times New Roman" w:cs="Times New Roman"/>
          <w:sz w:val="28"/>
          <w:szCs w:val="24"/>
        </w:rPr>
      </w:pPr>
      <w:r>
        <w:rPr>
          <w:rFonts w:cs="Times New Roman" w:ascii="Times New Roman" w:hAnsi="Times New Roman"/>
          <w:sz w:val="28"/>
          <w:szCs w:val="24"/>
        </w:rPr>
        <w:t>Development of IEP key message points consistent with policy set by the board or legislative group</w:t>
      </w:r>
    </w:p>
    <w:p>
      <w:pPr>
        <w:pStyle w:val="Footer"/>
        <w:numPr>
          <w:ilvl w:val="0"/>
          <w:numId w:val="4"/>
        </w:numPr>
        <w:tabs>
          <w:tab w:val="clear" w:pos="4320"/>
          <w:tab w:val="clear" w:pos="8640"/>
        </w:tabs>
        <w:rPr>
          <w:rFonts w:ascii="Times New Roman" w:hAnsi="Times New Roman" w:cs="Times New Roman"/>
          <w:sz w:val="28"/>
          <w:szCs w:val="24"/>
        </w:rPr>
      </w:pPr>
      <w:r>
        <w:rPr>
          <w:rFonts w:cs="Times New Roman" w:ascii="Times New Roman" w:hAnsi="Times New Roman"/>
          <w:sz w:val="28"/>
          <w:szCs w:val="24"/>
        </w:rPr>
        <w:t>Communication development and implementation of IEP key message points</w:t>
      </w:r>
    </w:p>
    <w:p>
      <w:pPr>
        <w:pStyle w:val="Footer"/>
        <w:numPr>
          <w:ilvl w:val="0"/>
          <w:numId w:val="4"/>
        </w:numPr>
        <w:tabs>
          <w:tab w:val="clear" w:pos="4320"/>
          <w:tab w:val="clear" w:pos="8640"/>
        </w:tabs>
        <w:rPr>
          <w:rFonts w:ascii="Times New Roman" w:hAnsi="Times New Roman" w:cs="Times New Roman"/>
          <w:sz w:val="28"/>
          <w:szCs w:val="24"/>
        </w:rPr>
      </w:pPr>
      <w:r>
        <w:rPr>
          <w:rFonts w:cs="Times New Roman" w:ascii="Times New Roman" w:hAnsi="Times New Roman"/>
          <w:sz w:val="28"/>
          <w:szCs w:val="24"/>
        </w:rPr>
        <w:t xml:space="preserve">Press Relations </w:t>
      </w:r>
    </w:p>
    <w:p>
      <w:pPr>
        <w:pStyle w:val="Footer"/>
        <w:numPr>
          <w:ilvl w:val="0"/>
          <w:numId w:val="4"/>
        </w:numPr>
        <w:tabs>
          <w:tab w:val="clear" w:pos="4320"/>
          <w:tab w:val="clear" w:pos="8640"/>
        </w:tabs>
        <w:rPr>
          <w:rFonts w:ascii="Times New Roman" w:hAnsi="Times New Roman" w:cs="Times New Roman"/>
          <w:sz w:val="28"/>
          <w:szCs w:val="24"/>
        </w:rPr>
      </w:pPr>
      <w:r>
        <w:rPr>
          <w:rFonts w:cs="Times New Roman" w:ascii="Times New Roman" w:hAnsi="Times New Roman"/>
          <w:sz w:val="28"/>
          <w:szCs w:val="24"/>
        </w:rPr>
        <w:t>Support of Legislative Activities</w:t>
      </w:r>
    </w:p>
    <w:p>
      <w:pPr>
        <w:pStyle w:val="Footer"/>
        <w:numPr>
          <w:ilvl w:val="0"/>
          <w:numId w:val="4"/>
        </w:numPr>
        <w:tabs>
          <w:tab w:val="clear" w:pos="4320"/>
          <w:tab w:val="clear" w:pos="8640"/>
        </w:tabs>
        <w:rPr>
          <w:rFonts w:ascii="Times New Roman" w:hAnsi="Times New Roman" w:cs="Times New Roman"/>
          <w:sz w:val="28"/>
          <w:szCs w:val="24"/>
        </w:rPr>
      </w:pPr>
      <w:r>
        <w:rPr>
          <w:rFonts w:cs="Times New Roman" w:ascii="Times New Roman" w:hAnsi="Times New Roman"/>
          <w:sz w:val="28"/>
          <w:szCs w:val="24"/>
        </w:rPr>
        <w:t>Coordination of member company media response</w:t>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Helvetica">
    <w:altName w:val="Arial"/>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Public Affairs Committee</w:t>
      <w:tab/>
      <w:tab/>
      <w:t xml:space="preserve">Page </w:t>
    </w:r>
    <w:r>
      <w:rPr/>
      <w:fldChar w:fldCharType="begin"/>
    </w:r>
    <w:r>
      <w:rPr/>
      <w:instrText xml:space="preserve"> PAGE </w:instrText>
    </w:r>
    <w:r>
      <w:rPr/>
      <w:fldChar w:fldCharType="separate"/>
    </w:r>
    <w:r>
      <w:rPr/>
      <w:t>3</w:t>
    </w:r>
    <w:r>
      <w:rPr/>
      <w:fldChar w:fldCharType="end"/>
    </w:r>
    <w:r>
      <w:rPr/>
      <w:t xml:space="preserve"> of </w:t>
    </w:r>
    <w:r>
      <w:rPr/>
      <w:fldChar w:fldCharType="begin"/>
    </w:r>
    <w:r>
      <w:rPr/>
      <w:instrText xml:space="preserve"> NUMPAGES \* ARABIC </w:instrText>
    </w:r>
    <w:r>
      <w:rPr/>
      <w:fldChar w:fldCharType="separate"/>
    </w:r>
    <w:r>
      <w:rPr/>
      <w:t>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720" w:hanging="360"/>
      </w:pPr>
      <w:rPr>
        <w:rFonts w:ascii="Liberation Serif" w:hAnsi="Liberation Serif" w:cs="Liberation Serif" w:hint="default"/>
      </w:rPr>
    </w:lvl>
  </w:abstractNum>
  <w:abstractNum w:abstractNumId="3">
    <w:lvl w:ilvl="0">
      <w:start w:val="1"/>
      <w:numFmt w:val="bullet"/>
      <w:lvlText w:val="o"/>
      <w:lvlJc w:val="start"/>
      <w:pPr>
        <w:tabs>
          <w:tab w:val="num" w:pos="720"/>
        </w:tabs>
        <w:ind w:start="720" w:hanging="360"/>
      </w:pPr>
      <w:rPr>
        <w:rFonts w:ascii="Liberation Serif" w:hAnsi="Liberation Serif" w:cs="Liberation Serif"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o"/>
      <w:lvlJc w:val="start"/>
      <w:pPr>
        <w:tabs>
          <w:tab w:val="num" w:pos="720"/>
        </w:tabs>
        <w:ind w:start="720" w:hanging="360"/>
      </w:pPr>
      <w:rPr>
        <w:rFonts w:ascii="Liberation Serif" w:hAnsi="Liberation Serif" w:cs="Liberation Serif" w:hint="default"/>
      </w:rPr>
    </w:lvl>
  </w:abstractNum>
  <w:abstractNum w:abstractNumId="5">
    <w:lvl w:ilvl="0">
      <w:start w:val="1"/>
      <w:numFmt w:val="bullet"/>
      <w:lvlText w:val="o"/>
      <w:lvlJc w:val="start"/>
      <w:pPr>
        <w:tabs>
          <w:tab w:val="num" w:pos="720"/>
        </w:tabs>
        <w:ind w:start="72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6"/>
      <w:szCs w:val="20"/>
    </w:rPr>
  </w:style>
  <w:style w:type="paragraph" w:styleId="Heading2">
    <w:name w:val="heading 2"/>
    <w:basedOn w:val="Normal"/>
    <w:next w:val="Normal"/>
    <w:qFormat/>
    <w:pPr>
      <w:keepNext w:val="true"/>
      <w:numPr>
        <w:ilvl w:val="1"/>
        <w:numId w:val="1"/>
      </w:numPr>
      <w:outlineLvl w:val="1"/>
    </w:pPr>
    <w:rPr>
      <w:b/>
      <w:bCs/>
      <w:sz w:val="26"/>
      <w:szCs w:val="20"/>
    </w:rPr>
  </w:style>
  <w:style w:type="paragraph" w:styleId="Heading3">
    <w:name w:val="heading 3"/>
    <w:basedOn w:val="Normal"/>
    <w:next w:val="Normal"/>
    <w:qFormat/>
    <w:pPr>
      <w:keepNext w:val="true"/>
      <w:numPr>
        <w:ilvl w:val="2"/>
        <w:numId w:val="1"/>
      </w:numPr>
      <w:outlineLvl w:val="2"/>
    </w:pPr>
    <w:rPr>
      <w:sz w:val="28"/>
      <w:szCs w:val="20"/>
    </w:rPr>
  </w:style>
  <w:style w:type="paragraph" w:styleId="Heading4">
    <w:name w:val="heading 4"/>
    <w:basedOn w:val="Normal"/>
    <w:next w:val="Normal"/>
    <w:qFormat/>
    <w:pPr>
      <w:keepNext w:val="true"/>
      <w:numPr>
        <w:ilvl w:val="3"/>
        <w:numId w:val="1"/>
      </w:numPr>
      <w:pBdr>
        <w:top w:val="single" w:sz="4" w:space="1" w:color="000000"/>
        <w:left w:val="single" w:sz="4" w:space="4" w:color="000000"/>
        <w:bottom w:val="single" w:sz="4" w:space="1" w:color="000000"/>
        <w:right w:val="single" w:sz="4" w:space="4" w:color="000000"/>
      </w:pBdr>
      <w:ind w:hanging="0" w:start="360" w:end="0"/>
      <w:outlineLvl w:val="3"/>
    </w:pPr>
    <w:rPr>
      <w:b/>
      <w:sz w:val="28"/>
    </w:rPr>
  </w:style>
  <w:style w:type="paragraph" w:styleId="Heading5">
    <w:name w:val="heading 5"/>
    <w:basedOn w:val="Normal"/>
    <w:next w:val="Normal"/>
    <w:qFormat/>
    <w:pPr>
      <w:keepNext w:val="true"/>
      <w:numPr>
        <w:ilvl w:val="4"/>
        <w:numId w:val="1"/>
      </w:numPr>
      <w:outlineLvl w:val="4"/>
    </w:pPr>
    <w:rPr>
      <w:sz w:val="28"/>
      <w:u w:val="single"/>
    </w:rPr>
  </w:style>
  <w:style w:type="paragraph" w:styleId="Heading6">
    <w:name w:val="heading 6"/>
    <w:basedOn w:val="Normal"/>
    <w:next w:val="Normal"/>
    <w:qFormat/>
    <w:pPr>
      <w:keepNext w:val="true"/>
      <w:numPr>
        <w:ilvl w:val="5"/>
        <w:numId w:val="1"/>
      </w:numPr>
      <w:outlineLvl w:val="5"/>
    </w:pPr>
    <w:rPr>
      <w:b/>
      <w:bCs/>
      <w:sz w:val="28"/>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cs="Courier New"/>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cs="Courier New"/>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cs="Courier New"/>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cs="Courier New"/>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cs="Courier New"/>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cs="Courier New"/>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z w:val="36"/>
      <w:szCs w:val="20"/>
    </w:rPr>
  </w:style>
  <w:style w:type="paragraph" w:styleId="BodyText">
    <w:name w:val="Body Text"/>
    <w:basedOn w:val="Normal"/>
    <w:pPr>
      <w:jc w:val="both"/>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Helvetica;Arial" w:hAnsi="Helvetica;Arial" w:cs="Helvetica;Arial"/>
      <w:szCs w:val="20"/>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2001-03-07T23:56:00Z</dcterms:created>
  <dc:creator>Katie Kaplan</dc:creator>
  <dc:description/>
  <dc:language>en-CA</dc:language>
  <cp:lastModifiedBy>Katie Kaplan</cp:lastModifiedBy>
  <cp:lastPrinted>2001-03-08T10:08:00Z</cp:lastPrinted>
  <dcterms:modified xsi:type="dcterms:W3CDTF">2001-03-08T15:38:00Z</dcterms:modified>
  <cp:revision>4</cp:revision>
  <dc:subject/>
  <dc:title>                                                                                              </dc:title>
</cp:coreProperties>
</file>