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72" w:type="dxa"/>
        <w:jc w:val="start"/>
        <w:tblInd w:w="0" w:type="dxa"/>
        <w:tblLayout w:type="fixed"/>
        <w:tblCellMar>
          <w:top w:w="0" w:type="dxa"/>
          <w:start w:w="108" w:type="dxa"/>
          <w:bottom w:w="0" w:type="dxa"/>
          <w:end w:w="108" w:type="dxa"/>
        </w:tblCellMar>
      </w:tblPr>
      <w:tblGrid>
        <w:gridCol w:w="6192"/>
        <w:gridCol w:w="3480"/>
      </w:tblGrid>
      <w:tr>
        <w:trPr>
          <w:trHeight w:val="3140" w:hRule="atLeast"/>
        </w:trPr>
        <w:tc>
          <w:tcPr>
            <w:tcW w:w="6192" w:type="dxa"/>
            <w:tcBorders/>
          </w:tcPr>
          <w:p>
            <w:pPr>
              <w:pStyle w:val="Normal"/>
              <w:ind w:end="144"/>
              <w:rPr/>
            </w:pPr>
            <w:r>
              <w:rPr/>
              <w:t>[Original Draft prepared by</w:t>
            </w:r>
          </w:p>
          <w:p>
            <w:pPr>
              <w:pStyle w:val="Normal"/>
              <w:ind w:end="144"/>
              <w:rPr/>
            </w:pPr>
            <w:r>
              <w:rPr/>
              <w:t>Brian S. Currey at O’Melveny &amp; Myers</w:t>
            </w:r>
          </w:p>
          <w:p>
            <w:pPr>
              <w:pStyle w:val="Normal"/>
              <w:ind w:end="144"/>
              <w:rPr/>
            </w:pPr>
            <w:r>
              <w:rPr/>
              <w:t>substitute name of counsel of record]</w:t>
            </w:r>
          </w:p>
          <w:p>
            <w:pPr>
              <w:pStyle w:val="Normal"/>
              <w:spacing w:before="240" w:after="0"/>
              <w:rPr/>
            </w:pPr>
            <w:r>
              <w:rPr/>
            </w:r>
          </w:p>
          <w:p>
            <w:pPr>
              <w:pStyle w:val="Normal"/>
              <w:spacing w:before="240" w:after="0"/>
              <w:rPr/>
            </w:pPr>
            <w:r>
              <w:rPr/>
            </w:r>
          </w:p>
          <w:p>
            <w:pPr>
              <w:pStyle w:val="Normal"/>
              <w:spacing w:before="240" w:after="0"/>
              <w:rPr/>
            </w:pPr>
            <w:r>
              <w:rPr/>
            </w:r>
          </w:p>
          <w:p>
            <w:pPr>
              <w:pStyle w:val="Normal"/>
              <w:spacing w:before="240" w:after="0"/>
              <w:rPr/>
            </w:pPr>
            <w:r>
              <w:rPr/>
              <w:t>Attorneys for Plaintiff</w:t>
            </w:r>
          </w:p>
          <w:p>
            <w:pPr>
              <w:pStyle w:val="Normal"/>
              <w:ind w:end="144"/>
              <w:rPr/>
            </w:pPr>
            <w:r>
              <w:rPr/>
            </w:r>
          </w:p>
        </w:tc>
        <w:tc>
          <w:tcPr>
            <w:tcW w:w="3480" w:type="dxa"/>
            <w:tcBorders/>
          </w:tcPr>
          <w:p>
            <w:pPr>
              <w:pStyle w:val="Normal"/>
              <w:snapToGrid w:val="false"/>
              <w:ind w:start="113" w:end="113"/>
              <w:rPr/>
            </w:pPr>
            <w:r>
              <w:rPr/>
            </w:r>
          </w:p>
        </w:tc>
      </w:tr>
    </w:tbl>
    <w:p>
      <w:pPr>
        <w:pStyle w:val="Normal"/>
        <w:spacing w:lineRule="exact" w:line="480" w:before="40" w:after="660"/>
        <w:jc w:val="center"/>
        <w:rPr/>
      </w:pPr>
      <w:r>
        <w:rPr/>
        <w:t>UNITED STATES DISTRICT COURT</w:t>
        <w:br/>
        <w:t>CENTRAL DISTRICT OF CALIFORNIA</w:t>
      </w:r>
    </w:p>
    <w:tbl>
      <w:tblPr>
        <w:tblW w:w="9672" w:type="dxa"/>
        <w:jc w:val="start"/>
        <w:tblInd w:w="0" w:type="dxa"/>
        <w:tblLayout w:type="fixed"/>
        <w:tblCellMar>
          <w:top w:w="0" w:type="dxa"/>
          <w:start w:w="108" w:type="dxa"/>
          <w:bottom w:w="0" w:type="dxa"/>
          <w:end w:w="108" w:type="dxa"/>
        </w:tblCellMar>
      </w:tblPr>
      <w:tblGrid>
        <w:gridCol w:w="4680"/>
        <w:gridCol w:w="4992"/>
      </w:tblGrid>
      <w:tr>
        <w:trPr/>
        <w:tc>
          <w:tcPr>
            <w:tcW w:w="4680" w:type="dxa"/>
            <w:tcBorders>
              <w:bottom w:val="single" w:sz="4" w:space="0" w:color="000000"/>
              <w:end w:val="single" w:sz="4" w:space="0" w:color="000000"/>
            </w:tcBorders>
          </w:tcPr>
          <w:p>
            <w:pPr>
              <w:pStyle w:val="Normal"/>
              <w:snapToGrid w:val="false"/>
              <w:spacing w:before="0" w:after="240"/>
              <w:rPr/>
            </w:pPr>
            <w:r>
              <w:rPr/>
            </w:r>
          </w:p>
          <w:p>
            <w:pPr>
              <w:pStyle w:val="Normal"/>
              <w:spacing w:before="0" w:after="240"/>
              <w:ind w:start="2160" w:end="144"/>
              <w:rPr/>
            </w:pPr>
            <w:r>
              <w:rPr/>
              <w:t>Plaintiff,</w:t>
            </w:r>
          </w:p>
          <w:p>
            <w:pPr>
              <w:pStyle w:val="Normal"/>
              <w:spacing w:before="0" w:after="240"/>
              <w:ind w:start="1440" w:end="144"/>
              <w:rPr/>
            </w:pPr>
            <w:r>
              <w:rPr/>
              <w:t>v.</w:t>
            </w:r>
          </w:p>
          <w:p>
            <w:pPr>
              <w:pStyle w:val="Normal"/>
              <w:spacing w:before="0" w:after="240"/>
              <w:ind w:end="144"/>
              <w:rPr/>
            </w:pPr>
            <w:r>
              <w:rPr/>
              <w:t>THE CALIFORNIA POWER EXCHANGE,</w:t>
            </w:r>
          </w:p>
          <w:p>
            <w:pPr>
              <w:pStyle w:val="Normal"/>
              <w:spacing w:before="0" w:after="240"/>
              <w:ind w:start="2160" w:end="144"/>
              <w:rPr/>
            </w:pPr>
            <w:r>
              <w:rPr/>
              <w:t>Defendant.</w:t>
            </w:r>
          </w:p>
        </w:tc>
        <w:tc>
          <w:tcPr>
            <w:tcW w:w="4992" w:type="dxa"/>
            <w:tcBorders/>
          </w:tcPr>
          <w:p>
            <w:pPr>
              <w:pStyle w:val="Normal"/>
              <w:tabs>
                <w:tab w:val="clear" w:pos="720"/>
                <w:tab w:val="left" w:pos="1242" w:leader="none"/>
              </w:tabs>
              <w:spacing w:before="0" w:after="240"/>
              <w:ind w:start="259" w:end="115"/>
              <w:rPr/>
            </w:pPr>
            <w:r>
              <w:rPr/>
              <w:t xml:space="preserve">Case No. </w:t>
            </w:r>
          </w:p>
          <w:p>
            <w:pPr>
              <w:pStyle w:val="Normal"/>
              <w:tabs>
                <w:tab w:val="clear" w:pos="720"/>
                <w:tab w:val="left" w:pos="1242" w:leader="none"/>
              </w:tabs>
              <w:spacing w:before="0" w:after="240"/>
              <w:ind w:start="259" w:end="115"/>
              <w:rPr>
                <w:b/>
              </w:rPr>
            </w:pPr>
            <w:r>
              <w:rPr>
                <w:b/>
              </w:rPr>
              <w:t xml:space="preserve">MEMORANDUM OF POINTS AND AUTHORITIES IN SUPPORT OF EX PARTE APPLICATION FOR TEMPORARY RESTRAINING ORDER AND ORDER TO SHOW CAUSE RE PRELIMINARY INJUNCTION </w:t>
            </w:r>
          </w:p>
          <w:p>
            <w:pPr>
              <w:pStyle w:val="Normal"/>
              <w:tabs>
                <w:tab w:val="clear" w:pos="720"/>
                <w:tab w:val="left" w:pos="1242" w:leader="none"/>
              </w:tabs>
              <w:spacing w:before="0" w:after="240"/>
              <w:ind w:start="259" w:end="115"/>
              <w:rPr/>
            </w:pPr>
            <w:r>
              <w:rPr/>
              <w:t>Date:</w:t>
            </w:r>
          </w:p>
          <w:p>
            <w:pPr>
              <w:pStyle w:val="Normal"/>
              <w:tabs>
                <w:tab w:val="clear" w:pos="720"/>
                <w:tab w:val="left" w:pos="1242" w:leader="none"/>
              </w:tabs>
              <w:spacing w:before="0" w:after="240"/>
              <w:ind w:start="259" w:end="115"/>
              <w:rPr/>
            </w:pPr>
            <w:r>
              <w:rPr/>
              <w:t>Time:</w:t>
            </w:r>
          </w:p>
          <w:p>
            <w:pPr>
              <w:pStyle w:val="Normal"/>
              <w:tabs>
                <w:tab w:val="clear" w:pos="720"/>
                <w:tab w:val="left" w:pos="1242" w:leader="none"/>
              </w:tabs>
              <w:spacing w:before="0" w:after="240"/>
              <w:ind w:start="259" w:end="115"/>
              <w:rPr/>
            </w:pPr>
            <w:r>
              <w:rPr/>
              <w:t>Courtroom:</w:t>
            </w:r>
          </w:p>
          <w:p>
            <w:pPr>
              <w:pStyle w:val="Normal"/>
              <w:ind w:hanging="2117" w:start="2376" w:end="115"/>
              <w:rPr/>
            </w:pPr>
            <w:r>
              <w:rPr/>
            </w:r>
            <w:bookmarkStart w:id="0" w:name="mpDateTimeInfo"/>
            <w:bookmarkStart w:id="1" w:name="mpDateTimeInfo"/>
            <w:bookmarkEnd w:id="1"/>
          </w:p>
        </w:tc>
      </w:tr>
    </w:tbl>
    <w:p>
      <w:pPr>
        <w:pStyle w:val="Normal"/>
        <w:spacing w:lineRule="exact" w:line="480" w:before="0" w:after="240"/>
        <w:ind w:start="115" w:end="115"/>
        <w:rPr/>
      </w:pPr>
      <w:r>
        <w:rPr/>
      </w:r>
      <w:r>
        <w:br w:type="page"/>
      </w:r>
    </w:p>
    <w:p>
      <w:pPr>
        <w:pStyle w:val="Pleading1L1"/>
        <w:numPr>
          <w:ilvl w:val="0"/>
          <w:numId w:val="13"/>
        </w:numPr>
        <w:ind w:hanging="0" w:start="0"/>
        <w:rPr>
          <w:u w:val="none"/>
        </w:rPr>
      </w:pPr>
      <w:r>
        <w:rPr>
          <w:u w:val="none"/>
        </w:rPr>
        <w:t>INTRODUCTION</w:t>
      </w:r>
    </w:p>
    <w:p>
      <w:pPr>
        <w:pStyle w:val="BodyText"/>
        <w:rPr/>
      </w:pPr>
      <w:r>
        <w:rPr/>
        <w:t>California’s catastrophic efforts at energy deregulation have resulted in rolling blackouts, skyrocketing energy costs, and staggering outlays of taxpayer funds.  The energy crisis also has pushed the state’s two largest investor-owned public utilities -- Southern California Edison (“Edison”) and Pacific Gas &amp; Electric Company (“PG&amp;E”) -- to the brink of bankruptcy:  their credit ratings have been slashed, and they are within days of running out of money.  As a consequence, they will not pay for the exorbitantly expensive power they have purchased to serve their customers.  Several other companies have similarly defaulted on their payment obligations and are expected to do so again.  All told the unpaid bills will soon total over a billion dollars.</w:t>
      </w:r>
    </w:p>
    <w:p>
      <w:pPr>
        <w:pStyle w:val="BodyText"/>
        <w:rPr/>
      </w:pPr>
      <w:r>
        <w:rPr/>
        <w:t>The defendant, California Power Exchange Corporation, known in the industry as “the CalPX,” is one of many entities that finds itself in the unenviable position of being owed money by Edison, PG&amp;E, and other purchasers of energy.  The state legislature created the CalPX,  a private company, to serve three very distinct functions.  First, the CalPX was to run part of the state’s deregulated energy market.  It conducted auctions for electricity to be used the following day, in the so-called “day-ahead” market, and for electricity to be used later the same day, in the so-called “hour-ahead” market (“Core Market”). Second, CalPX operated a market for the delivery of electricity in the future (‘”CTS Market” or “Block Forward Market”).   In a third, separate function, the CalPX served as the agent for PG&amp;E, Edison and the other defaulting purchasers of energy when they bought electricity in the state’s “real time” or “spot” market, operated by another entity called the California Independent System Operator Corporation, or “the ISO.”</w:t>
      </w:r>
    </w:p>
    <w:p>
      <w:pPr>
        <w:pStyle w:val="BodyText"/>
        <w:rPr/>
      </w:pPr>
      <w:r>
        <w:rPr/>
        <w:t>The CalPX, as a result of its inability to comply with recent FERC orders and the other extraordinary circumstances facing the wholesale electrical market, announced that effective January 31, 2001, it would no longer operate the Core Market.</w:t>
      </w:r>
    </w:p>
    <w:p>
      <w:pPr>
        <w:pStyle w:val="BodyText"/>
        <w:rPr/>
      </w:pPr>
      <w:r>
        <w:rPr/>
        <w:t>The CalPX received a bill from the ISO for Imbalance Energy Real Time purchases, and has unsuccessfully sought to pass it through to its principals, Edison and PG&amp;E.   In addition, Edison and PG&amp;E have failed to pay for energy purchased through the PX in the Core Market.  After learning that Edison and PG&amp; E cannot or will not pay their invoices, CalPX attempted to utilize the default procedures set forth in the California Power Exchange Corporation FERC Electric Service Tariff No. 2, and CalPX Trading Services Rate Schedule FERC No. 1, and liquidate Edison’s and PG&amp;E’s Block Forward contracts in the CTS or Block Forward market.  Edison and PG&amp;E sought unsuccessfully to enjoin the CalPX from liquidating their Block Forward positions.</w:t>
      </w:r>
    </w:p>
    <w:p>
      <w:pPr>
        <w:pStyle w:val="BodyText"/>
        <w:rPr/>
      </w:pPr>
      <w:r>
        <w:rPr/>
        <w:t xml:space="preserve">On February 1, 2001 the Governor of the State of California, by Executive Order under the California Emergency Services Act,  commandeered the forward contracts of Edison and PG&amp;E.  (Executive Orders D-20-1 and D-21-1).  The CalPX in its press release, announced that the value of these contracts commandeered by the Governor was $615,000,000.  </w:t>
      </w:r>
    </w:p>
    <w:p>
      <w:pPr>
        <w:pStyle w:val="BodyText"/>
        <w:rPr/>
      </w:pPr>
      <w:r>
        <w:rPr/>
        <w:t>On February 5, 2001, the CalPX announced that as a result of the extraordinary circumstances surrounding the wholesale electrical market and the actions of the Governor, CalPX would no longer perform its scheduling coordination functions.  The CalPX instructed Participants to schedule their future electrical energy physical deliveries through the State of California, Department of Water Resources, with an new entity known as CERS.  The CalPX instructed Participants that the counterparty for schedule transactions is the State of California, Department of Water Resources.</w:t>
      </w:r>
    </w:p>
    <w:p>
      <w:pPr>
        <w:pStyle w:val="BodyText"/>
        <w:rPr/>
      </w:pPr>
      <w:r>
        <w:rPr/>
        <w:t xml:space="preserve">In the midst of this chaos, the CalPX announced its intention to saddle plaintiffs and other innocent participants in the Core Market with the enormous debts incurred by Edison, PG&amp;E and the other defaulting purchasers in the separate “real time” market as well as their debts for purchases in the Core Market.  </w:t>
      </w:r>
    </w:p>
    <w:p>
      <w:pPr>
        <w:pStyle w:val="BodyText"/>
        <w:rPr/>
      </w:pPr>
      <w:r>
        <w:rPr/>
        <w:t xml:space="preserve">In short, the CalPX is confusing its two separate functions.  But for the extraordinary circumstances facing the wholesale market, if Edison and PG&amp;E were defaulting on their obligations to make payments for Core Market  power purchased in the markets administered by the CalPX,  it would have authority under its tariff – approved by the Federal Energy Regulatory Commission (“FERC”) – to spread that loss proportionately among the participants in those markets.  Under these circumstances, however, the FERC Tariff no longer makes sense.  The CalPX markets have ceased to function and are no longer markets.  For that reason, plaintiffs and others have filed an Emergency Application for Suspension of Tariff Provisions simultaneously with this application. </w:t>
      </w:r>
    </w:p>
    <w:p>
      <w:pPr>
        <w:pStyle w:val="BodyText"/>
        <w:rPr/>
      </w:pPr>
      <w:r>
        <w:rPr/>
        <w:t>But CalPX proposes not only to distribute charge backs for Core Market debts but also to recover from Participants in the Core Market  funds that certain of its principals owe for purchases in the entirely separate “real time” market.</w:t>
      </w:r>
    </w:p>
    <w:p>
      <w:pPr>
        <w:pStyle w:val="BodyText"/>
        <w:rPr/>
      </w:pPr>
      <w:r>
        <w:rPr/>
        <w:t>It would be unspeakably unfair, however, and demonstratively unlawful, to require plaintiffs and other innocent market participants in the CalPX’s Core Market to pay for power purchased by Edison, PG&amp;E and the other defaulting purchasers in the “real time” market.  Plaintiffs had nothing to do with the power purchased by the two utilities or the other purchasers who have not paid their bills.  They should pay for their own power.   Indeed, the ISO has made it clear that it is not even looking to the CalPX for repayment, but instead intends to apportion the loss among all those who sold into the electricity “real time” market in accordance with its tariff.</w:t>
      </w:r>
    </w:p>
    <w:p>
      <w:pPr>
        <w:pStyle w:val="BodyText"/>
        <w:rPr/>
      </w:pPr>
      <w:r>
        <w:rPr/>
        <w:t>Because the CalPX is merely a conduit for funds to the ISO for “real time” energy purchases, the method used to allocate the loss will have no financial impact on it.  The ISO is not going to sue the CalPX because some of its principals, such as Edison and PG&amp;E, fail to pay their bills for “real time” power purchases in the ISO market.  Rather, as noted above, the ISO intends to proportionately reduce payment to those who sold power and are now owed money by the ISO.  Thus, the CalPX should be indifferent about whether the shortfall is made up by reducing payment to those who sold into the ISO market, as the ISO proposes, or by charge-backs to CalPX Participants, as the CalPX proposes to do.</w:t>
      </w:r>
    </w:p>
    <w:p>
      <w:pPr>
        <w:pStyle w:val="BodyText"/>
        <w:rPr/>
      </w:pPr>
      <w:r>
        <w:rPr/>
        <w:t>But the method selected will have a very significant impact on plaintiffs other CalPX Participants.  Plaintiffs were also a participant in the ISO’s “real time” market, agreed to the formula set forth in the ISO’s tariff.  Plaintiffs will be irreparably harmed by the PX’s proposed “charge-backs.”  In order to participate in the portion of the energy market operated by the CalPX,  plaintiffs were required to post irrevocable letters of credit.  Those letters of credit were intended to serve as collateral security for obligations that plaintiffs would incur by making energy purchases on its own behalf, and not as security for purchases made by unrelated entities such as Edison or PG&amp;E.  Yet, if plaintiffs refuse to pay the CalPX for its “share” of those other obligations, the CalPX will draw down on the letters of credit, and plaintiff  will be required to reimburse the issuing banks.  Its only remedy -- a suit for damages against the CalPX,  Edison, or PG&amp;E -- would be wholly illusory since each is judgment-proof.  Edison and PG&amp;E, as noted above, are on the brink of financial ruin, and the CalPX was designed only to serve as a conduit for funds from purchasers of power to sellers; it has no significant funds of its own.  Moreover, in the last few days it has essentially gone out of business, ceasing to operate the energy market it was created to run.  Similarly, if it does pay the PX’s “charge-back” invoice, it will also be irreparably harmed.  It will never be able to recover those funds because the CalPX,  Edison and PG&amp;E are all judgment-proof.</w:t>
      </w:r>
    </w:p>
    <w:p>
      <w:pPr>
        <w:pStyle w:val="BodyText"/>
        <w:rPr/>
      </w:pPr>
      <w:r>
        <w:rPr/>
        <w:t>Accordingly, this Court should issue a temporary restraining order prohibiting the CalPX from:  billing plaintiffs for any shortfalls caused by non-payment of Edison, PG&amp;E, or other purchasers in the ISO “real time” markets, drawing on any letters of credit posted by plaintiffs, or otherwise collecting on any security or collateral posted by plaintiffs or other market participants in connection with non-payment by others, pending a hearing on a preliminary injunction.</w:t>
      </w:r>
    </w:p>
    <w:p>
      <w:pPr>
        <w:pStyle w:val="Pleading1L1"/>
        <w:numPr>
          <w:ilvl w:val="0"/>
          <w:numId w:val="13"/>
        </w:numPr>
        <w:ind w:hanging="0" w:start="0"/>
        <w:rPr>
          <w:u w:val="none"/>
        </w:rPr>
      </w:pPr>
      <w:r>
        <w:rPr>
          <w:u w:val="none"/>
        </w:rPr>
        <w:t>STATEMENT OF FACTS</w:t>
      </w:r>
    </w:p>
    <w:p>
      <w:pPr>
        <w:pStyle w:val="Pleading1L2"/>
        <w:numPr>
          <w:ilvl w:val="1"/>
          <w:numId w:val="13"/>
        </w:numPr>
        <w:ind w:hanging="0" w:start="0"/>
        <w:rPr>
          <w:u w:val="none"/>
        </w:rPr>
      </w:pPr>
      <w:r>
        <w:rPr>
          <w:u w:val="none"/>
        </w:rPr>
        <w:t>The Real Time Imbalance Energy Market</w:t>
      </w:r>
    </w:p>
    <w:p>
      <w:pPr>
        <w:pStyle w:val="BodyText"/>
        <w:rPr/>
      </w:pPr>
      <w:r>
        <w:rPr/>
        <w:t>When California partially deregulated the market for electric energy in March 1998, the ISO became the manager of most of the state’s power grid.  California’s power grid is a network of long-distance, high-voltage transmission lines and substations that carry bulk electricity to local utilities for distribution to their customers.</w:t>
      </w:r>
    </w:p>
    <w:p>
      <w:pPr>
        <w:pStyle w:val="BodyText"/>
        <w:rPr/>
      </w:pPr>
      <w:r>
        <w:rPr/>
        <w:t>Along with operating the power grid, the ISO also acts as a clearinghouse for energy transactions in the final hours before energy is consumed.  The highest volume of ISO energy trading is through what is called the Real Time Imbalance Market.  This is a spot market for electrical power and is available for both in-state and out-of-state participants.  It allows the ISO to rectify imbalances in electricity supply and demand on a “real time” basis.  The ISO makes adjustments in power deliveries second-by-second to match changes in California’s demand for power at any given time.  Market traders, using designated “Scheduling Coordinators,” either receive payment for extra generation they supply or are billed for the extra energy they need.  The CalPX acts as a Scheduling Coordinator with the ISO on behalf of certain purchasers of this energy, called “Imbalance Energy,” including Edison, PG&amp;E, and Plaintiffs.</w:t>
      </w:r>
    </w:p>
    <w:p>
      <w:pPr>
        <w:pStyle w:val="BodyText"/>
        <w:rPr/>
      </w:pPr>
      <w:r>
        <w:rPr/>
        <w:t>Until recently, the CalPX also provided separate markets to all suppliers and purchasers of electrical energy in the Core Market  for electrical energy in California.  As the names suggest, these markets allowed utilities to purchase electricity needed later the same day, or the next day, from sellers throughout the country.  Operation of these markets was the main function of the PX.  However, the CalPX announced it would halt operation of these markets on January 30, 2001.  Thus, the CalPX is itself expected to be essentially out of business soon.</w:t>
      </w:r>
    </w:p>
    <w:p>
      <w:pPr>
        <w:pStyle w:val="BodyText"/>
        <w:rPr/>
      </w:pPr>
      <w:r>
        <w:rPr/>
        <w:t>The ISO is responsible for calculating, accounting for, and billing for Imbalance Energy in the Real Time Market within the ISO controlled grid.  All Scheduling Coordinators are required to discharge their obligations to pay the amounts owed by them and will receive payments of all amounts owed to them only through the ISO.</w:t>
      </w:r>
    </w:p>
    <w:p>
      <w:pPr>
        <w:pStyle w:val="Pleading1L2"/>
        <w:numPr>
          <w:ilvl w:val="1"/>
          <w:numId w:val="13"/>
        </w:numPr>
        <w:ind w:hanging="0" w:start="0"/>
        <w:rPr>
          <w:u w:val="none"/>
        </w:rPr>
      </w:pPr>
      <w:r>
        <w:rPr>
          <w:u w:val="none"/>
        </w:rPr>
        <w:t>The Defaults of Edison, PG&amp;E and Others</w:t>
      </w:r>
    </w:p>
    <w:p>
      <w:pPr>
        <w:pStyle w:val="BodyText"/>
        <w:rPr/>
      </w:pPr>
      <w:r>
        <w:rPr/>
        <w:t>The largest purchasers of energy in the Real Time Market have been Edison and PG&amp;E.  As California’s power crisis worsened, the financial condition of those two utilities deteriorated.  As their financial condition weakened and their liquidity worsened, Edison and PG&amp;E purchased less electrical energy in the PX’s day-ahead and hour-ahead markets -- which required prompt payment or even “cash” up front -- and increasingly shifted their electricity purchases to the more expensive ISO Real Time Imbalance Market, which allows for deferred payment.  As anyone reading the newspapers now knows, Edison and PG&amp;E bought far more power than they could afford.  The ISO has billed -- and continues to bill -- the CalPX as Scheduling Coordinator for purchases it made on behalf of Edison and PG&amp;E.  Certain of these bills are now due.</w:t>
      </w:r>
    </w:p>
    <w:p>
      <w:pPr>
        <w:pStyle w:val="BodyText"/>
        <w:rPr/>
      </w:pPr>
      <w:r>
        <w:rPr/>
        <w:t>The CalPX,  as it should, separately invoiced purchasers for power it had purchased on their behalf as Scheduling Coordinator in the ISO market.  For example, on February 1, 2001, purchasers of electrical energy that employ the CalPX as Scheduling Coordinator with the ISO should have paid invoices from the CalPX for purchases of Imbalance Energy in the Real Time Market.  These payments would satisfy charges for Imbalance Energy from the ISO that “pass through” the CalPX to those purchasers that employ the PX.  Plaintiffs received an invoice for its power purchases, and paid it.  However, PG&amp;E announced that it would not pay.  Edison, too, is expected to default, as are many other purchasers who used the CalPX as Scheduling Coordinator to purchase power in the ISO Real Time Market.</w:t>
      </w:r>
    </w:p>
    <w:p>
      <w:pPr>
        <w:pStyle w:val="Pleading1L2"/>
        <w:numPr>
          <w:ilvl w:val="1"/>
          <w:numId w:val="13"/>
        </w:numPr>
        <w:ind w:hanging="0" w:start="0"/>
        <w:rPr>
          <w:u w:val="none"/>
        </w:rPr>
      </w:pPr>
      <w:r>
        <w:rPr>
          <w:u w:val="none"/>
        </w:rPr>
        <w:t>The CalPX Charge-back Invoice</w:t>
      </w:r>
    </w:p>
    <w:p>
      <w:pPr>
        <w:pStyle w:val="BodyText"/>
        <w:rPr/>
      </w:pPr>
      <w:r>
        <w:rPr/>
        <w:t xml:space="preserve">The CalPX thus finds itself with bills it cannot pay.  Unfortunately for it, the CalPX agreed to act as Edison’s and PG&amp;E’s Scheduling Coordinator without getting sufficient security from those entities to cover itself if those utilities defaulted.  So, the CalPX has come up with a scheme to try to shift those liabilities to other innocent energy purchasers, including plaintiff.  </w:t>
      </w:r>
    </w:p>
    <w:p>
      <w:pPr>
        <w:pStyle w:val="BodyText"/>
        <w:rPr/>
      </w:pPr>
      <w:r>
        <w:rPr/>
        <w:t>Purporting to invoke Section 5.3 of Schedule 2 of the California Power Exchange Corporation FERC Electric Service Tariff No. 2 effective June 7, 2000  (the “PX Tariff”)</w:t>
      </w:r>
      <w:r>
        <w:rPr>
          <w:rStyle w:val="FootnoteCharacters"/>
          <w:rStyle w:val="FootnoteReference"/>
        </w:rPr>
        <w:footnoteReference w:id="2"/>
      </w:r>
      <w:r>
        <w:rPr/>
        <w:t xml:space="preserve">, representatives of the CalPX have stated that they will invoice plaintiffs other innocent market participants as part of a “charge-back” to cover the shortfall created by the failure of Edison, PG&amp;E, and others, to pay their February 1, 2001, bills for purchases of Imbalance Energy in the Real Time Market.  </w:t>
      </w:r>
    </w:p>
    <w:p>
      <w:pPr>
        <w:pStyle w:val="BodyText"/>
        <w:rPr/>
      </w:pPr>
      <w:r>
        <w:rPr/>
        <w:t>The CalPX Tariff, approved by FERC, sets forth the services provided by the CalPX and the terms and conditions and charges for those services.  As mentioned, the CalPX operated the day-ahead and hour-ahead markets for energy in California.  In order to participate in those markets, a buyer or seller of power must become a “PX Participant” by entering into a participation agreement with the PX.  (A form of that agreement is contained in CalPX Tariff Appendix A.)  In order to participate in the PX’s day-ahead and hour-ahead market, Plaintiffs entered into a participation agreement with the CalPX,  agreeing to comply with all terms of the CalPX Tariff and associated schedules and appendices.  The terms of the CalPX Tariff are incorporated by reference into the participation agreement.</w:t>
      </w:r>
    </w:p>
    <w:p>
      <w:pPr>
        <w:pStyle w:val="BodyText"/>
        <w:rPr/>
      </w:pPr>
      <w:r>
        <w:rPr/>
        <w:t>The CalPX has no authority under the CalPX Tariff or otherwise to seek payment from Plaintiffs for the unpaid Imbalance Energy bills of others.  That does not mean, however, that no provision at all was made for the possibility that purchasers in the ISO market would default on their payment obligations: the ISO FERC Electric Tariff effective October 13, 2000 (the “ISO Tariff”) specifically provides that any such shortfall is to be spread proportionately among the various entities that sold power to the ISO, including the many out-of-state power companies that have profited so handsomely from selling high-priced power into the state.  In essence, ISO required power sellers to pool the risk of non-payment by one or more purchasers, according to their respective percentages of total sales.  Thus, even if it could be determined which sellers provided the electrons used by Edison and PG&amp;E, it would be irrelevant.  They all agreed to share the risk of default.  Plaintiffs sold Imbalance Energy in the ISO market.  Thus, it too agreed to share in the risk of these defaults in proportion to the value of its energy sales in that market.  On the other hand, Plaintiffs never agreed to share in the risk of these defaults on the basis proposed by the PX.</w:t>
      </w:r>
    </w:p>
    <w:p>
      <w:pPr>
        <w:pStyle w:val="BodyText"/>
        <w:rPr/>
      </w:pPr>
      <w:r>
        <w:rPr/>
        <w:t>The ISO recently issued a letter indicating that it does not expect payment from the CalPX for the unpaid amounts.  Rather, just as it is supposed to do, it will only make pro rata payments to sellers in the market.  January 31, 2001 letter from Charles F. Robinson of the ISO, attached as Exhibit G to the Declaration of _____________.  That allocation is required by federal law under Section 11.16.1 of the ISO Tariff and precludes and preempts the PX’s intended charge-back.</w:t>
      </w:r>
    </w:p>
    <w:p>
      <w:pPr>
        <w:pStyle w:val="Pleading1L2"/>
        <w:numPr>
          <w:ilvl w:val="1"/>
          <w:numId w:val="13"/>
        </w:numPr>
        <w:ind w:hanging="0" w:start="0"/>
        <w:rPr>
          <w:u w:val="none"/>
        </w:rPr>
      </w:pPr>
      <w:r>
        <w:rPr>
          <w:u w:val="none"/>
        </w:rPr>
        <w:t>The Effect of the Charge-back Invoice on Plaintiff</w:t>
      </w:r>
    </w:p>
    <w:p>
      <w:pPr>
        <w:pStyle w:val="BodyText"/>
        <w:rPr/>
      </w:pPr>
      <w:r>
        <w:rPr/>
        <w:t xml:space="preserve">The CalPX is expected to seek to “charge-back” a portion of the unpaid amounts to Plaintiffs within days, based not on the proportion of its sales of Imbalance Energy in the ISO market, but on the basis of its participation in the separate markets administered by the PX.  Plaintiffs expects the amount of this invoice will be approximately $_______ million.  Significantly higher invoices are expected next month.  If Plaintiffs does not pay, the CalPX will draw down on irrevocable letters of credit provided by Plaintiffs as collateral for its own obligations (not those of Edison and PG&amp;E).  Under the terms of its agreements with the banks issuing those letters of credit, Plaintiffs will be required to reimburse them.  As noted above, it will have no effective way to recover those funds, because the only potential sources of recovery -- the CalPX,  Edison and PG&amp;E, </w:t>
        <w:br/>
        <w:t>-- are all judgment-proof.</w:t>
      </w:r>
    </w:p>
    <w:p>
      <w:pPr>
        <w:pStyle w:val="BodyText"/>
        <w:rPr/>
      </w:pPr>
      <w:r>
        <w:rPr/>
        <w:t>Thus, unless this Court immediately enjoins the CalPX from submitting the charge-back invoices and drawing on the letters of credit, Plaintiffs will be irreparably injured.  Its money will be gone forever.</w:t>
      </w:r>
    </w:p>
    <w:p>
      <w:pPr>
        <w:pStyle w:val="Pleading1L1"/>
        <w:numPr>
          <w:ilvl w:val="0"/>
          <w:numId w:val="13"/>
        </w:numPr>
        <w:ind w:hanging="0" w:start="0"/>
        <w:rPr>
          <w:b w:val="false"/>
          <w:u w:val="none"/>
        </w:rPr>
      </w:pPr>
      <w:r>
        <w:rPr>
          <w:u w:val="none"/>
        </w:rPr>
        <w:t>ARGUMENT</w:t>
      </w:r>
    </w:p>
    <w:p>
      <w:pPr>
        <w:pStyle w:val="BodyText"/>
        <w:rPr/>
      </w:pPr>
      <w:r>
        <w:rPr/>
        <w:t xml:space="preserve">Pursuant to Fed. R. Civ. P. 65(b), this Court may issue a temporary restraining order where it clearly appears that immediate and irreparable injury will result unless the order is issued.  Such relief is appropriate where, as here, the applicant has demonstrated either (1) a combination of probable success on the merits and the possibility of irreparable harm, or (2) that serious questions are raised and the balance of hardships tips in the applicant’s favor.  </w:t>
      </w:r>
      <w:r>
        <w:rPr>
          <w:u w:val="single"/>
        </w:rPr>
        <w:t>Oakland Tribune, Inc. v. Chronicle Publishing Co.</w:t>
      </w:r>
      <w:r>
        <w:rPr/>
        <w:t>, 762 F2d 1374, 1376 (9th Cir. 1985) (“[T]hese two formulations represent two points on a sliding scale in which the required degree of irreparable harm increases as the probability of success decreases.”).  Plaintiffs is entitled to a TRO under either test.</w:t>
      </w:r>
    </w:p>
    <w:p>
      <w:pPr>
        <w:pStyle w:val="Pleading1L2"/>
        <w:numPr>
          <w:ilvl w:val="1"/>
          <w:numId w:val="13"/>
        </w:numPr>
        <w:ind w:hanging="0" w:start="0"/>
        <w:rPr>
          <w:u w:val="none"/>
        </w:rPr>
      </w:pPr>
      <w:r>
        <w:rPr>
          <w:u w:val="none"/>
        </w:rPr>
        <w:t>Plaintiffs Is Likely To Succeed On Its Claim For A Declaration That The CalPX Lacks Authority To Bill It For Power Purchased by Others.</w:t>
      </w:r>
    </w:p>
    <w:p>
      <w:pPr>
        <w:pStyle w:val="BodyText"/>
        <w:rPr/>
      </w:pPr>
      <w:r>
        <w:rPr/>
        <w:t>Plaintiffs seeks a declaration that the CalPX lacks authority to bill it for the failure of other purchasers of electricity to pay for energy purchased from the ISO in the Real Time Market.</w:t>
      </w:r>
    </w:p>
    <w:p>
      <w:pPr>
        <w:pStyle w:val="Pleading1L3"/>
        <w:numPr>
          <w:ilvl w:val="2"/>
          <w:numId w:val="13"/>
        </w:numPr>
        <w:ind w:hanging="0" w:start="0"/>
        <w:rPr/>
      </w:pPr>
      <w:r>
        <w:rPr>
          <w:b/>
        </w:rPr>
        <w:t>This action presents an actual case or controversy and is within the subject matter jurisdiction of this Court</w:t>
      </w:r>
      <w:r>
        <w:rPr/>
        <w:t>.</w:t>
      </w:r>
    </w:p>
    <w:p>
      <w:pPr>
        <w:pStyle w:val="BodyText"/>
        <w:rPr/>
      </w:pPr>
      <w:r>
        <w:rPr/>
        <w:t xml:space="preserve">To prevail on a declaratory judgment action, a plaintiff must meet two preliminary requirements.  First, the suit must present an actual case or controversy within the meaning of Article III, section 2 of the United States Constitution.  </w:t>
      </w:r>
      <w:r>
        <w:rPr>
          <w:i/>
        </w:rPr>
        <w:t>See Government Employees Ins. Co. v. Dizol</w:t>
      </w:r>
      <w:r>
        <w:rPr/>
        <w:t>, 133 F.3d 1220, 1222 (9</w:t>
      </w:r>
      <w:r>
        <w:rPr>
          <w:vertAlign w:val="superscript"/>
        </w:rPr>
        <w:t>th</w:t>
      </w:r>
      <w:r>
        <w:rPr/>
        <w:t xml:space="preserve"> Cir. 1998).  As explained by the Supreme Court:</w:t>
      </w:r>
    </w:p>
    <w:p>
      <w:pPr>
        <w:pStyle w:val="BodyText"/>
        <w:spacing w:lineRule="exact" w:line="240"/>
        <w:ind w:start="720" w:end="0"/>
        <w:rPr/>
      </w:pPr>
      <w:r>
        <w:rPr/>
        <w:t>The controversy must be definite and concrete, touching the legal relations of parties having adverse legal interests.  It must be a real and substantial controversy admitting of specific relief through a decree of a conclusive character, as distinguished from an opinion advising what the law would be upon a hypothetical state of facts.</w:t>
      </w:r>
    </w:p>
    <w:p>
      <w:pPr>
        <w:pStyle w:val="BodyText"/>
        <w:ind w:hanging="0" w:end="0"/>
        <w:rPr/>
      </w:pPr>
      <w:r>
        <w:rPr>
          <w:i/>
        </w:rPr>
        <w:t>Aetna Life Ins. Co. of Hartford, Conn. v. Haworth</w:t>
      </w:r>
      <w:r>
        <w:rPr/>
        <w:t xml:space="preserve">, 300 U.S. 227, 240-241 (1937).  Second, the controversy must fulfill statutory federal jurisdictional prerequisites.  </w:t>
      </w:r>
      <w:r>
        <w:rPr>
          <w:i/>
        </w:rPr>
        <w:t>See id.</w:t>
      </w:r>
      <w:r>
        <w:rPr/>
        <w:t xml:space="preserve"> at 1222-23.  This case meets both requirements.</w:t>
      </w:r>
    </w:p>
    <w:p>
      <w:pPr>
        <w:pStyle w:val="BodyText"/>
        <w:rPr/>
      </w:pPr>
      <w:r>
        <w:rPr/>
        <w:t xml:space="preserve">First, this is an “actual case or controversy.”  The CalPX has made clear that it will submit an invoice to Plaintiffs for the failure of other electricity purchasers to pay their Imbalance Energy bills.  The controversy is definite and concrete:  the CalPX claims that Plaintiffs owes money pursuant to a provision of the FERC-approved CalPX Tariff; Plaintiffs disagrees because the ISO Tariff clearly states otherwise and the CalPX Tariff provision upon which the CalPX relies is inapplicable.  Thus, the CalPX on the one hand, and Plaintiffs on the other, have adverse legal interests.  This controversy is real, and millions of dollars are at stake.  </w:t>
      </w:r>
    </w:p>
    <w:p>
      <w:pPr>
        <w:pStyle w:val="BodyText"/>
        <w:rPr/>
      </w:pPr>
      <w:r>
        <w:rPr/>
        <w:t xml:space="preserve">As to the second requirement, this Court has federal subject matter jurisdiction under 28 U.S.C. § 1331, which provides that “[t]he district courts shall have original jurisdiction of all civil actions arising under the . . . laws. . . of the United States.”  Resolution of this case depends entirely on the construction of tariff provisions subject to federal regulatory approval, and thus the claim arises under the laws of the United States.  </w:t>
      </w:r>
      <w:r>
        <w:rPr>
          <w:i/>
        </w:rPr>
        <w:t>See MCI Telecomms. Corp. v. Teleconcepts, Inc.</w:t>
      </w:r>
      <w:r>
        <w:rPr/>
        <w:t>, 71 F.3d 1086, 1093-94 (3</w:t>
      </w:r>
      <w:r>
        <w:rPr>
          <w:vertAlign w:val="superscript"/>
        </w:rPr>
        <w:t>rd</w:t>
      </w:r>
      <w:r>
        <w:rPr/>
        <w:t xml:space="preserve"> Cir. 1995); </w:t>
      </w:r>
      <w:r>
        <w:rPr>
          <w:i/>
        </w:rPr>
        <w:t>AT&amp;T Corp. v. Boyd</w:t>
      </w:r>
      <w:r>
        <w:rPr/>
        <w:t>, 1999 WL 1000918 (N.D. Cal. 1999).  This Court also has diversity jurisdiction under 28 U.S.C. § 1332 because this suit is between citizens of different States, and the matter in controversy exceeds $75,000.  Plaintiffs is a Delaware corporation with its principal place of business in Stamford, Connecticut, while the CalPX is a California corporation, with its principal place of business in California.  The value of this matter well exceeds $75,000, as the entire purpose of the action is to prevent the CalPX from wrongfully demanding payments from Plaintiffs in amounts no less than $____________</w:t>
      </w:r>
      <w:r>
        <w:rPr>
          <w:b/>
        </w:rPr>
        <w:t>.</w:t>
      </w:r>
    </w:p>
    <w:p>
      <w:pPr>
        <w:pStyle w:val="Pleading1L3"/>
        <w:numPr>
          <w:ilvl w:val="2"/>
          <w:numId w:val="13"/>
        </w:numPr>
        <w:ind w:hanging="0" w:start="0"/>
        <w:rPr>
          <w:b/>
        </w:rPr>
      </w:pPr>
      <w:r>
        <w:rPr>
          <w:b/>
        </w:rPr>
        <w:t>Sellers of energy in the ISO “Real Time” market bear the risk of nonpayment by those purchasing energy in that market.</w:t>
      </w:r>
    </w:p>
    <w:p>
      <w:pPr>
        <w:pStyle w:val="BodyText"/>
        <w:rPr/>
      </w:pPr>
      <w:r>
        <w:rPr/>
        <w:t>The failure of Edison, PG&amp;E and others to make payments for energy purchased in the ISO “Real Time” Market constitutes a default that is to be proportionately spread among all the sellers of energy in that market.  This allocation of risk of default is spelled out clearly in the ISO Tariff, and all of the sellers – including Plaintiffs – agreed to it as a condition of selling in that market.</w:t>
      </w:r>
    </w:p>
    <w:p>
      <w:pPr>
        <w:pStyle w:val="BodyText"/>
        <w:rPr/>
      </w:pPr>
      <w:r>
        <w:rPr/>
        <w:t xml:space="preserve">The ISO, not the CalPX,  governs payments for Imbalance Energy purchased in the Real Time Market.  </w:t>
      </w:r>
      <w:r>
        <w:rPr>
          <w:i/>
        </w:rPr>
        <w:t>See</w:t>
      </w:r>
      <w:r>
        <w:rPr/>
        <w:t xml:space="preserve"> ISO Tariff § 11.2.4 (placing responsibility on the ISO to “calculate, account for and settle Imbalance Energy in the Real Time Market . . . within the ISO Controlled Grid”); </w:t>
      </w:r>
      <w:r>
        <w:rPr>
          <w:i/>
        </w:rPr>
        <w:t>see also</w:t>
      </w:r>
      <w:r>
        <w:rPr/>
        <w:t xml:space="preserve"> ISO Tariff § 11.8.1 (“All Scheduling Coordinators shall discharge their obligations to pay the amounts owed by them and shall receive payments of all amounts owed to them under [the] ISO Tariff only through the ISO.”); ISO Tariff § 11.1.6.</w:t>
      </w:r>
    </w:p>
    <w:p>
      <w:pPr>
        <w:pStyle w:val="BodyText"/>
        <w:rPr/>
      </w:pPr>
      <w:r>
        <w:rPr/>
        <w:t xml:space="preserve">In contracting for Imbalance Energy in the Real Time Market, the ISO does not act as principal, but rather acts “as agent for and on behalf of the relevant Scheduling Coordinator.”  ISO Tariff § 2.2.1.  Thus, payments made to the ISO by parties that purchase Imbalance Energy, such as Edison and PG&amp;E (or their Scheduling Coordinator), are for the benefit of parties that the sell Imbalance Energy into the Real Time Market.  This arrangement is consistent with the CalPX Operating Manual’s description of Imbalance Energy charges as flowing from the ISO and merely “pass[ing] through” the CalPX to those that employ the CalPX as Scheduling Coordinator with the ISO.  </w:t>
      </w:r>
      <w:r>
        <w:rPr>
          <w:i/>
        </w:rPr>
        <w:t>See</w:t>
      </w:r>
      <w:r>
        <w:rPr/>
        <w:t xml:space="preserve"> PSABP § 4.3.1; PSABP Appendix 1 § 6.1.1(b).</w:t>
      </w:r>
    </w:p>
    <w:p>
      <w:pPr>
        <w:pStyle w:val="BodyText"/>
        <w:rPr/>
      </w:pPr>
      <w:r>
        <w:rPr/>
        <w:t>Section 11.16.1 of the ISO Tariff sets forth the course of action the ISO is to take if a Scheduling Coordinator fails to make a required payment for Imbalance Energy.  The ISO should first exhaust any collateral the defaulting purchaser has posted with ISO.  If that is insufficient to cover the obligation, the loss should be spread proportionately among all those selling into the ISO market; i.e., the “ISO Creditors:”</w:t>
      </w:r>
    </w:p>
    <w:p>
      <w:pPr>
        <w:pStyle w:val="BodyText"/>
        <w:spacing w:lineRule="auto" w:line="240"/>
        <w:ind w:hanging="0" w:start="706" w:end="0"/>
        <w:rPr/>
      </w:pPr>
      <w:r>
        <w:rPr/>
        <w:t xml:space="preserve">If it is not possible to clear the ISO Clearing Account on a Payment Date because of an insufficiency of funds available in the ISO Reserve Account or by enforcing any guarantee, letter of credit or other credit support provided by a defaulting Scheduling Coordinator, </w:t>
      </w:r>
      <w:r>
        <w:rPr>
          <w:u w:val="single"/>
        </w:rPr>
        <w:t>the ISO shall reduce payments to all ISO Creditors proportionately</w:t>
      </w:r>
      <w:r>
        <w:rPr/>
        <w:t xml:space="preserve"> to the net amounts payable to them on the relevant Payment Date to the extent necessary to clear the ISO Clearing Account.  The ISO shall account for such reduction in the ISO ledger accounts as amounts due and owing by the non-paying ISO Debtor to each ISO Creditor whose payment was so reduced.  [emphasis added].</w:t>
      </w:r>
    </w:p>
    <w:p>
      <w:pPr>
        <w:pStyle w:val="BodyText"/>
        <w:ind w:hanging="0" w:end="0"/>
        <w:rPr/>
      </w:pPr>
      <w:r>
        <w:rPr/>
        <w:t>In other words, the ISO must spread the loss among all the sellers in its market  And, as noted above, that is exactly what the ISO intends to do.  January 31, 2001 letter from Charles F. Robinson of the ISO, attached as Exhibit G to the Declaration of _____________.</w:t>
      </w:r>
    </w:p>
    <w:p>
      <w:pPr>
        <w:pStyle w:val="Pleading1L3"/>
        <w:numPr>
          <w:ilvl w:val="2"/>
          <w:numId w:val="13"/>
        </w:numPr>
        <w:ind w:hanging="0" w:start="0"/>
        <w:rPr>
          <w:b/>
        </w:rPr>
      </w:pPr>
      <w:r>
        <w:rPr>
          <w:b/>
        </w:rPr>
        <w:t>The CalPX Tariff does not permit the CalPX to “charge-back” unpaid obligations of others for purchases of Imbalance Energy in the Real Time Market.</w:t>
      </w:r>
    </w:p>
    <w:p>
      <w:pPr>
        <w:pStyle w:val="BodyText"/>
        <w:rPr/>
      </w:pPr>
      <w:r>
        <w:rPr/>
        <w:t>Nothing in the CalPX Tariff permits the CalPX to charge Plaintiffs or other innocent participants in the “day-ahead” or “hour-ahead” energy markets to cover for the failure of Edison, PG&amp;E and others to pay for amounts owed to ISO Creditors.  The CalPX relies on section 5.3 of Schedule 2 of the CalPX Tariff, which provides:</w:t>
      </w:r>
    </w:p>
    <w:p>
      <w:pPr>
        <w:pStyle w:val="BodyText"/>
        <w:spacing w:lineRule="exact" w:line="240"/>
        <w:ind w:hanging="0" w:start="720" w:end="0"/>
        <w:rPr/>
      </w:pPr>
      <w:r>
        <w:rPr/>
        <w:t>In the event that amounts owed to the CalPX Participants on a payout date cannot be fully paid due to an insufficiency of funds in the CalPX clearing accounts, the CalPX will allocate the shortage to the CalPX Participants using the proportional charge-back methodology described below.  If payments are recovered, they will be remitted to the relevant CalPX Participants on the same basis using the same ratio as the original charge-back.</w:t>
      </w:r>
    </w:p>
    <w:p>
      <w:pPr>
        <w:pStyle w:val="BodyText"/>
        <w:ind w:hanging="0" w:end="0"/>
        <w:rPr/>
      </w:pPr>
      <w:r>
        <w:rPr/>
        <w:t>This CalPX Tariff, to which CalPX Participants agreed as a condition to participating in the CalPX “day-ahead” and “hour-ahead” markets, has no application to trading in the ISO Real Time Market.  On its face, Section 5.3 does not apply to charges for Imbalance Energy.  The provision only applies to “amounts owed to the CalPX Participants.”  The CalPX Tariff defines “PX Participant” as: “An entity that is authorized to buy or sell Energy or Ancillary Services through the CalPX,  and any agent authorized to act on behalf of such entity.”  CalPX Tariff Appendix B.  The ISO does not participate in the “day-ahead” and “hour-ahead” markets, and the amounts owed by Edison, PG&amp;E and others are not “amounts owed to CalPX Participants,” but rather constitute amounts owed to the ISO for the benefit of sellers of Imbalance Energy in the Real Time Market.</w:t>
      </w:r>
    </w:p>
    <w:p>
      <w:pPr>
        <w:pStyle w:val="BodyText"/>
        <w:rPr/>
      </w:pPr>
      <w:r>
        <w:rPr/>
        <w:t>Under the PX’s bizarre interpretation of Section 5.3, CalPX Participants in the “day-ahead” and “hour-ahead” markets would bear the risk of defaults by any entity that selected the CalPX as its Scheduling Coordinator, but not those that did not.  But, a party’s unilateral selection of the CalPX as its Scheduling Coordinator is beyond the control of other CalPX Participants and should not shift to those other CalPX Participants’ additional credit risk.  Such an arbitrary shifting of risk is not only unfair to innocent CalPX Participants such as Plaintiffs, but also is inconsistent with the clear intent of the ISO Tariff to allocate the risk of default among the ISO Creditors.</w:t>
      </w:r>
    </w:p>
    <w:p>
      <w:pPr>
        <w:pStyle w:val="BodyText"/>
        <w:rPr/>
      </w:pPr>
      <w:r>
        <w:rPr/>
        <w:t>Applying Section 5.3 to invoices for Imbalance Energy also would have a perverse and disparate impact on ISO Creditors.  Because Section 5.3 only allows the CalPX to spread the failure of a party to pay an invoice among CalPX Participants, ISO Creditors that are also CalPX Participants would be worse off than ISO Creditors that are not.  For example, assume that a hypothetical Texas energy company and Plaintiffs both sell Imbalance Energy in the Real Time Market and that both are therefore ISO Creditors.  Also assume that Plaintiffs is a CalPX Participant but the Texas company is not.  In such a scenario, if Edison uses the CalPX as its Scheduling Coordinator and defaults on its Imbalance Energy invoice, and if the CalPX applies Section 5.3 to CalPX Participants, then Plaintiffs would share in the loss whereas the Texas company would not.  This result directly contradicts Section 11.16.1 of the ISO Tariff, which requires the ISO to spread the loss pro-rata among all ISO Creditors.  However, if Edison did not use the CalPX as its Scheduling Coordinator, Section 5.3 would not be applied (inasmuch as the invoice for Imbalance Energy would not pass through the PX), and Section 11.16.1 would require a portion of the loss to be allocated to the Texas company.</w:t>
      </w:r>
    </w:p>
    <w:p>
      <w:pPr>
        <w:pStyle w:val="BodyText"/>
        <w:rPr/>
      </w:pPr>
      <w:r>
        <w:rPr/>
        <w:t>The CalPX recently proposed to revise Section 1.5.1 of Schedule 2 of the CalPX Tariff to add the following language that is consistent with and supports Plaintiffs’s position:</w:t>
      </w:r>
    </w:p>
    <w:p>
      <w:pPr>
        <w:pStyle w:val="BodyText"/>
        <w:spacing w:lineRule="auto" w:line="240" w:before="0" w:after="240"/>
        <w:ind w:hanging="0" w:start="706" w:end="0"/>
        <w:rPr/>
      </w:pPr>
      <w:r>
        <w:rPr/>
        <w:t>The Participant Credit Rating requirements for the Real Time pass-through billings shall mirror the ISO credit requirements since the CalPX passes through and charges all ISO obligations to its Participants.  In the event of a conflict between the ISO and CalPX credit rating requirements for the Real Time pass-through billings, the ISO credit rating requirement shall control.</w:t>
      </w:r>
    </w:p>
    <w:p>
      <w:pPr>
        <w:pStyle w:val="BodyText"/>
        <w:ind w:hanging="0" w:end="0"/>
        <w:rPr/>
      </w:pPr>
      <w:r>
        <w:rPr>
          <w:i/>
        </w:rPr>
        <w:t>See</w:t>
      </w:r>
      <w:r>
        <w:rPr/>
        <w:t xml:space="preserve"> CalPX FERC filing dated January 5, 2001, CalPX Tariff Amendment No. 22.  Thus, the CalPX has acknowledged that it merely “passes through” ISO energy charges.</w:t>
      </w:r>
    </w:p>
    <w:p>
      <w:pPr>
        <w:pStyle w:val="Pleading1L2"/>
        <w:numPr>
          <w:ilvl w:val="1"/>
          <w:numId w:val="13"/>
        </w:numPr>
        <w:ind w:hanging="0" w:start="0"/>
        <w:rPr>
          <w:u w:val="none"/>
        </w:rPr>
      </w:pPr>
      <w:r>
        <w:rPr>
          <w:u w:val="none"/>
        </w:rPr>
        <w:t>Plaintiff Will Suffer Immediate Irreparable Harm Unless This Court Enjoins the CalPX from Drawing on the Letters of Credit.</w:t>
      </w:r>
    </w:p>
    <w:p>
      <w:pPr>
        <w:pStyle w:val="BodyText"/>
        <w:rPr/>
      </w:pPr>
      <w:r>
        <w:rPr/>
        <w:t xml:space="preserve">The CalPX has virtually no funds of its own and is on the verge of going out of business.  Edison and PG&amp;E are teetering on the edge of bankruptcy.  If the CalPX insists on invoicing Plaintiffs for the obligations of others, Plaintiffs will be irreparably harmed.  If it pays the invoice, it will not have an effective damages remedy because the potential defendants -- the CalPX,  Edison and PG&amp;E -- will all be bankrupt and judgment-proof.  If it does not pay, and the CalPX draws on the letters of credit, it will be obliged to pay the issuing banks.  Again, it will not be able to recover damages against the CalPX,  Edison or PG&amp;E, because they will all be judgment-proof.  So either way, it will be irreparably injured.  </w:t>
      </w:r>
      <w:r>
        <w:rPr>
          <w:i/>
        </w:rPr>
        <w:t>See Brenntag Int’l Chemicals, Inc. v. Bank of India</w:t>
      </w:r>
      <w:r>
        <w:rPr/>
        <w:t xml:space="preserve">, 175 F.2d 245, 249-50 (2d Cir. 1999) (holding that district court did not abuse its discretion in finding irreparable harm because upon final resolution of the matter, plaintiff could never be restored to previous position by insolvent defendant without injunction); </w:t>
      </w:r>
      <w:r>
        <w:rPr>
          <w:i/>
        </w:rPr>
        <w:t>Federated Strategic Income Fund v. Mechala Group Jamaica Ltd.</w:t>
      </w:r>
      <w:r>
        <w:rPr/>
        <w:t>, No. 99 CIV 10517-HB, 1999 WL 993648, at *8 (S.D.N.Y. Nov. 2, 1999) (“[W]here defendant is insolvent or insolvency is threatened . . . preliminary injunctive relief may be necessary because, while monetary damages may be theoretically available, as a practical matter, the defendant would not or could not respond fully to those damages.”) (quotations and citations omitted).</w:t>
      </w:r>
      <w:r>
        <w:rPr>
          <w:rStyle w:val="FootnoteCharacters"/>
          <w:rStyle w:val="FootnoteReference"/>
        </w:rPr>
        <w:footnoteReference w:id="3"/>
      </w:r>
    </w:p>
    <w:p>
      <w:pPr>
        <w:pStyle w:val="Pleading1L2"/>
        <w:numPr>
          <w:ilvl w:val="1"/>
          <w:numId w:val="13"/>
        </w:numPr>
        <w:ind w:hanging="0" w:start="0"/>
        <w:rPr>
          <w:u w:val="none"/>
        </w:rPr>
      </w:pPr>
      <w:r>
        <w:rPr>
          <w:u w:val="none"/>
        </w:rPr>
        <w:t>The Balance Of Hardship Weighs Decidedly In Favor of Plaintiff, As Does the Public Interest.</w:t>
      </w:r>
    </w:p>
    <w:p>
      <w:pPr>
        <w:pStyle w:val="BodyText"/>
        <w:rPr/>
      </w:pPr>
      <w:r>
        <w:rPr/>
        <w:t xml:space="preserve">As noted above, the ISO is not looking to the CalPX to repay the debts of Edison, PG&amp;E, or the other energy purchasers who have refused to pay.  So the CalPX is not threatened with any injury if the status quo is maintained.  And in any event, the CalPX has ceased energy trading operations and is all but shutting down.  </w:t>
      </w:r>
    </w:p>
    <w:p>
      <w:pPr>
        <w:pStyle w:val="BodyText"/>
        <w:rPr/>
      </w:pPr>
      <w:r>
        <w:rPr/>
        <w:t>On the other hand Plaintiffs will lose millions of dollars unless a temporary restraining order issues, and will have no effective means of ever recovering that money.</w:t>
      </w:r>
    </w:p>
    <w:p>
      <w:pPr>
        <w:pStyle w:val="BodyText"/>
        <w:rPr/>
      </w:pPr>
      <w:r>
        <w:rPr/>
        <w:t>The public interest favors issuance of injunctive relief.  The ISO has announced its intention to collect the shortfall from sellers in the market, in full accord with its FERC-approved tariff, and as agreed by the sellers.</w:t>
      </w:r>
    </w:p>
    <w:p>
      <w:pPr>
        <w:pStyle w:val="Pleading1L1"/>
        <w:numPr>
          <w:ilvl w:val="0"/>
          <w:numId w:val="13"/>
        </w:numPr>
        <w:ind w:hanging="0" w:start="0"/>
        <w:rPr>
          <w:u w:val="none"/>
        </w:rPr>
      </w:pPr>
      <w:r>
        <w:rPr>
          <w:u w:val="none"/>
        </w:rPr>
        <w:t>Conclusion</w:t>
      </w:r>
    </w:p>
    <w:p>
      <w:pPr>
        <w:pStyle w:val="BodyText"/>
        <w:rPr/>
      </w:pPr>
      <w:r>
        <w:rPr/>
        <w:t>For the foregoing reasons, Plaintiffs respectfully requests the Court to enter a temporary restraining order and order requiring the CalPX to show cause why a preliminary injunction should not issue prohibiting the CalPX from billing plaintiff for the failure of Edison, PG&amp;E and others to pay for Imbalance Energy purchased from the ISO in the Real Time Market, and prohibiting the CalPX from drawing down on the letters of credit or otherwise seeking to collect on any collateral of Plaintiffs for the unpaid obligations of others.</w:t>
      </w:r>
    </w:p>
    <w:p>
      <w:pPr>
        <w:pStyle w:val="PleadingSignature"/>
        <w:spacing w:before="240" w:after="0"/>
        <w:ind w:start="720" w:end="0"/>
        <w:rPr/>
      </w:pPr>
      <w:r>
        <w:rPr/>
        <w:t>Dated:  February 2, 2001</w:t>
      </w:r>
    </w:p>
    <w:p>
      <w:pPr>
        <w:pStyle w:val="PleadingSignature"/>
        <w:spacing w:before="240" w:after="0"/>
        <w:rPr/>
      </w:pPr>
      <w:r>
        <w:rPr/>
        <w:t>Respectfully submitted,</w:t>
      </w:r>
    </w:p>
    <w:p>
      <w:pPr>
        <w:pStyle w:val="PleadingSignature"/>
        <w:rPr/>
      </w:pPr>
      <w:r>
        <w:rPr/>
      </w:r>
    </w:p>
    <w:p>
      <w:pPr>
        <w:pStyle w:val="PleadingSignature"/>
        <w:rPr/>
      </w:pPr>
      <w:r>
        <w:rPr/>
        <w:t xml:space="preserve">[Draft prepared by </w:t>
      </w:r>
    </w:p>
    <w:p>
      <w:pPr>
        <w:pStyle w:val="PleadingSignature"/>
        <w:rPr/>
      </w:pPr>
      <w:r>
        <w:rPr/>
        <w:t>Brian S. Currey of O’Melveny &amp; Myers</w:t>
      </w:r>
    </w:p>
    <w:p>
      <w:pPr>
        <w:pStyle w:val="PleadingSignature"/>
        <w:rPr/>
      </w:pPr>
      <w:r>
        <w:rPr/>
        <w:t>substitute name of counsel of record]</w:t>
      </w:r>
    </w:p>
    <w:p>
      <w:pPr>
        <w:pStyle w:val="PleadingSignature"/>
        <w:spacing w:before="720" w:after="0"/>
        <w:rPr/>
      </w:pPr>
      <w:r>
        <w:rPr/>
        <w:t>By</w:t>
      </w:r>
    </w:p>
    <w:p>
      <w:pPr>
        <w:pStyle w:val="PleadingSignature"/>
        <w:pBdr>
          <w:top w:val="single" w:sz="4" w:space="1" w:color="000000"/>
        </w:pBdr>
        <w:ind w:start="5040" w:end="360"/>
        <w:rPr/>
      </w:pPr>
      <w:r>
        <w:rPr/>
        <w:tab/>
      </w:r>
    </w:p>
    <w:p>
      <w:pPr>
        <w:pStyle w:val="PleadingSignature"/>
        <w:rPr/>
      </w:pPr>
      <w:r>
        <w:rPr/>
        <w:t>Attorneys for Plaintiff Plaintiffs Corporation</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2088" w:right="720" w:gutter="0" w:header="432" w:top="1325" w:footer="360" w:bottom="1080"/>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Unicode MS">
    <w:charset w:val="80"/>
    <w:family w:val="swiss"/>
    <w:pitch w:val="variable"/>
  </w:font>
  <w:font w:name="Tahoma">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874"/>
      <w:gridCol w:w="1170"/>
      <w:gridCol w:w="4496"/>
    </w:tblGrid>
    <w:tr>
      <w:trPr>
        <w:trHeight w:val="620" w:hRule="exact"/>
      </w:trPr>
      <w:tc>
        <w:tcPr>
          <w:tcW w:w="1890" w:type="dxa"/>
          <w:tcBorders/>
        </w:tcPr>
        <w:p>
          <w:pPr>
            <w:pStyle w:val="Footer"/>
            <w:snapToGrid w:val="false"/>
            <w:spacing w:lineRule="exact" w:line="160"/>
            <w:ind w:start="-72"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874" w:type="dxa"/>
          <w:tcBorders/>
          <w:vAlign w:val="center"/>
        </w:tcPr>
        <w:p>
          <w:pPr>
            <w:pStyle w:val="Footer"/>
            <w:snapToGrid w:val="false"/>
            <w:spacing w:lineRule="exact" w:line="200"/>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1170" w:type="dxa"/>
          <w:tcBorders/>
        </w:tcPr>
        <w:p>
          <w:pPr>
            <w:pStyle w:val="Footer"/>
            <w:spacing w:before="400" w:after="0"/>
            <w:ind w:start="-86"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c>
      <w:tc>
        <w:tcPr>
          <w:tcW w:w="4496" w:type="dxa"/>
          <w:tcBorders/>
        </w:tcPr>
        <w:p>
          <w:pPr>
            <w:pStyle w:val="Footer"/>
            <w:tabs>
              <w:tab w:val="center" w:pos="4320" w:leader="none"/>
              <w:tab w:val="right" w:pos="5014" w:leader="none"/>
              <w:tab w:val="right" w:pos="9360" w:leader="none"/>
            </w:tabs>
            <w:snapToGrid w:val="false"/>
            <w:spacing w:lineRule="exact" w:line="200"/>
            <w:ind w:start="259" w:end="0"/>
            <w:jc w:val="end"/>
            <w:rPr>
              <w:rStyle w:val="PageNumber"/>
              <w:sz w:val="17"/>
            </w:rPr>
          </w:pPr>
          <w:r>
            <w:rPr/>
          </w:r>
        </w:p>
        <w:p>
          <w:pPr>
            <w:pStyle w:val="Footer"/>
            <w:tabs>
              <w:tab w:val="center" w:pos="4320" w:leader="none"/>
              <w:tab w:val="right" w:pos="5014" w:leader="none"/>
              <w:tab w:val="right" w:pos="9360" w:leader="none"/>
            </w:tabs>
            <w:spacing w:lineRule="exact" w:line="200"/>
            <w:ind w:start="259" w:end="0"/>
            <w:jc w:val="end"/>
            <w:rPr>
              <w:sz w:val="20"/>
            </w:rPr>
          </w:pPr>
          <w:r>
            <w:rPr>
              <w:sz w:val="17"/>
            </w:rPr>
            <w:t>MEMORANDUM OF POINTS AND AUTHORITIES IN SUPPORT OF TEMPORARY RESTRAINING ORDER</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874"/>
      <w:gridCol w:w="1170"/>
      <w:gridCol w:w="4496"/>
    </w:tblGrid>
    <w:tr>
      <w:trPr>
        <w:trHeight w:val="620" w:hRule="exact"/>
      </w:trPr>
      <w:tc>
        <w:tcPr>
          <w:tcW w:w="1890" w:type="dxa"/>
          <w:tcBorders/>
        </w:tcPr>
        <w:p>
          <w:pPr>
            <w:pStyle w:val="Footer"/>
            <w:snapToGrid w:val="false"/>
            <w:spacing w:lineRule="exact" w:line="160"/>
            <w:ind w:start="-72"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874" w:type="dxa"/>
          <w:tcBorders/>
          <w:vAlign w:val="center"/>
        </w:tcPr>
        <w:p>
          <w:pPr>
            <w:pStyle w:val="Footer"/>
            <w:snapToGrid w:val="false"/>
            <w:spacing w:lineRule="exact" w:line="200"/>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1170" w:type="dxa"/>
          <w:tcBorders/>
        </w:tcPr>
        <w:p>
          <w:pPr>
            <w:pStyle w:val="Footer"/>
            <w:snapToGrid w:val="false"/>
            <w:spacing w:before="400" w:after="0"/>
            <w:ind w:start="-86" w:end="0"/>
            <w:jc w:val="center"/>
            <w:rPr>
              <w:rStyle w:val="PageNumber"/>
            </w:rPr>
          </w:pPr>
          <w:r>
            <w:rPr/>
          </w:r>
        </w:p>
      </w:tc>
      <w:tc>
        <w:tcPr>
          <w:tcW w:w="4496" w:type="dxa"/>
          <w:tcBorders/>
        </w:tcPr>
        <w:p>
          <w:pPr>
            <w:pStyle w:val="Footer"/>
            <w:tabs>
              <w:tab w:val="center" w:pos="4320" w:leader="none"/>
              <w:tab w:val="right" w:pos="5014" w:leader="none"/>
              <w:tab w:val="right" w:pos="9360" w:leader="none"/>
            </w:tabs>
            <w:snapToGrid w:val="false"/>
            <w:spacing w:lineRule="exact" w:line="200"/>
            <w:ind w:start="259" w:end="0"/>
            <w:jc w:val="end"/>
            <w:rPr>
              <w:rStyle w:val="PageNumber"/>
              <w:sz w:val="17"/>
            </w:rPr>
          </w:pPr>
          <w:r>
            <w:rPr/>
          </w:r>
        </w:p>
        <w:p>
          <w:pPr>
            <w:pStyle w:val="Footer"/>
            <w:tabs>
              <w:tab w:val="center" w:pos="4320" w:leader="none"/>
              <w:tab w:val="right" w:pos="5014" w:leader="none"/>
              <w:tab w:val="right" w:pos="9360" w:leader="none"/>
            </w:tabs>
            <w:spacing w:lineRule="exact" w:line="200"/>
            <w:ind w:start="259" w:end="0"/>
            <w:jc w:val="end"/>
            <w:rPr>
              <w:sz w:val="17"/>
            </w:rPr>
          </w:pPr>
          <w:r>
            <w:rPr>
              <w:sz w:val="17"/>
            </w:rPr>
            <w:t>MEMORANDUM OF POINTS AND AUTHORITIES IN SUPPORT OF TEMPORARY RESTRAINING ORDER</w:t>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Relevant excerpts from tariffs referred to in this memorandum are attached to the Declaration of __________, filed under separate cover.  That declaration includes website addresses where complete copies of the tariffs may be found.</w:t>
      </w:r>
    </w:p>
  </w:footnote>
  <w:footnote w:id="3">
    <w:p>
      <w:pPr>
        <w:pStyle w:val="FootnoteText"/>
        <w:rPr/>
      </w:pPr>
      <w:r>
        <w:rPr>
          <w:rStyle w:val="FootnoteCharacters"/>
        </w:rPr>
        <w:footnoteRef/>
      </w:r>
      <w:r>
        <w:rPr/>
        <w:t xml:space="preserve"> </w:t>
      </w:r>
      <w:r>
        <w:rPr/>
        <w:t>The CalPX Tariff contains alternative dispute resolution procedures.  Generally, these procedures apply “to all disputes between parties which arise under the CalPX Documents.”  CalPX Tariff Schedule 9 § 1.1.  However, the procedures do not apply “to court action[s] for injunctive relief,” where the Court, in its discretion, so determines.  CalPX Tariff Schedule 9 § 1.3.  Given the immediate, severe and irreparable harm that faces Plaintiffs, this Court should exercise its discretion to issue the requested injunctive relief.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9">
              <wp:simplePos x="0" y="0"/>
              <wp:positionH relativeFrom="column">
                <wp:align>left</wp:align>
              </wp:positionH>
              <wp:positionV relativeFrom="line">
                <wp:posOffset>635</wp:posOffset>
              </wp:positionV>
              <wp:extent cx="6541770" cy="9448800"/>
              <wp:effectExtent l="0" t="0" r="0" b="0"/>
              <wp:wrapNone/>
              <wp:docPr id="1" name="Frame2"/>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0">
              <wp:simplePos x="0" y="0"/>
              <wp:positionH relativeFrom="column">
                <wp:align>left</wp:align>
              </wp:positionH>
              <wp:positionV relativeFrom="line">
                <wp:posOffset>635</wp:posOffset>
              </wp:positionV>
              <wp:extent cx="6541770" cy="9448800"/>
              <wp:effectExtent l="0" t="0" r="0" b="0"/>
              <wp:wrapNone/>
              <wp:docPr id="2" name="Frame1"/>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suff w:val="nothing"/>
      <w:lvlText w:val="%1."/>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nish w:val="false"/>
        <w:color w:val="0000FF"/>
      </w:rPr>
    </w:lvl>
    <w:lvl w:ilvl="1">
      <w:start w:val="1"/>
      <w:numFmt w:val="upperLetter"/>
      <w:lvlText w:val="%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0000FF"/>
      </w:rPr>
    </w:lvl>
    <w:lvl w:ilvl="2">
      <w:start w:val="1"/>
      <w:numFmt w:val="decimal"/>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b w:val="false"/>
        <w:vanish w:val="false"/>
        <w:color w:val="0000FF"/>
      </w:rPr>
    </w:lvl>
    <w:lvl w:ilvl="3">
      <w:start w:val="1"/>
      <w:numFmt w:val="lowerLetter"/>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4">
      <w:start w:val="1"/>
      <w:numFmt w:val="decimal"/>
      <w:lvlText w:val="(%5)"/>
      <w:lvlJc w:val="start"/>
      <w:pPr>
        <w:tabs>
          <w:tab w:val="num" w:pos="2880"/>
        </w:tabs>
        <w:ind w:start="288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abstractNum w:abstractNumId="12">
    <w:lvl w:ilvl="0">
      <w:start w:val="1"/>
      <w:numFmt w:val="upperRoman"/>
      <w:suff w:val="nothing"/>
      <w:lvlText w:val="%1."/>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nish w:val="false"/>
        <w:color w:val="0000FF"/>
      </w:rPr>
    </w:lvl>
    <w:lvl w:ilvl="1">
      <w:start w:val="1"/>
      <w:numFmt w:val="upperLetter"/>
      <w:lvlText w:val="%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0000FF"/>
      </w:rPr>
    </w:lvl>
    <w:lvl w:ilvl="2">
      <w:start w:val="1"/>
      <w:numFmt w:val="decimal"/>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b/>
        <w:vanish w:val="false"/>
        <w:color w:val="0000FF"/>
      </w:rPr>
    </w:lvl>
    <w:lvl w:ilvl="3">
      <w:start w:val="1"/>
      <w:numFmt w:val="lowerLetter"/>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nish w:val="false"/>
        <w:color w:val="0000FF"/>
      </w:rPr>
    </w:lvl>
    <w:lvl w:ilvl="4">
      <w:start w:val="1"/>
      <w:numFmt w:val="decimal"/>
      <w:lvlText w:val="(%5)"/>
      <w:lvlJc w:val="start"/>
      <w:pPr>
        <w:tabs>
          <w:tab w:val="num" w:pos="2880"/>
        </w:tabs>
        <w:ind w:start="288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1"/>
      <w:numFmt w:val="upperRoman"/>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0000FF"/>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nish w:val="false"/>
        <w:color w:val="0000FF"/>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b w:val="false"/>
        <w:vanish w:val="false"/>
        <w:color w:val="0000FF"/>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abstractNum w:abstractNumId="14">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288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3600"/>
        </w:tabs>
        <w:ind w:start="144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decimal"/>
      <w:lvlText w:val="(%1)"/>
      <w:lvlJc w:val="start"/>
      <w:pPr>
        <w:tabs>
          <w:tab w:val="num" w:pos="2520"/>
        </w:tabs>
        <w:ind w:start="2520" w:hanging="1080"/>
      </w:pPr>
      <w:rPr/>
    </w:lvl>
    <w:lvl w:ilvl="1">
      <w:start w:val="1"/>
      <w:numFmt w:val="lowerLetter"/>
      <w:lvlText w:val="%2)"/>
      <w:lvlJc w:val="start"/>
      <w:pPr>
        <w:tabs>
          <w:tab w:val="num" w:pos="2160"/>
        </w:tabs>
        <w:ind w:start="2160" w:hanging="360"/>
      </w:pPr>
      <w:rPr/>
    </w:lvl>
    <w:lvl w:ilvl="2">
      <w:start w:val="1"/>
      <w:numFmt w:val="lowerRoman"/>
      <w:lvlText w:val="%3)"/>
      <w:lvlJc w:val="start"/>
      <w:pPr>
        <w:tabs>
          <w:tab w:val="num" w:pos="2520"/>
        </w:tabs>
        <w:ind w:start="2520" w:hanging="360"/>
      </w:pPr>
      <w:rPr/>
    </w:lvl>
    <w:lvl w:ilvl="3">
      <w:start w:val="1"/>
      <w:numFmt w:val="decimal"/>
      <w:lvlText w:val="(%4)"/>
      <w:lvlJc w:val="start"/>
      <w:pPr>
        <w:tabs>
          <w:tab w:val="num" w:pos="2880"/>
        </w:tabs>
        <w:ind w:start="1440" w:firstLine="1080"/>
      </w:pPr>
      <w:rPr/>
    </w:lvl>
    <w:lvl w:ilvl="4">
      <w:start w:val="1"/>
      <w:numFmt w:val="lowerLetter"/>
      <w:lvlText w:val="(%5)"/>
      <w:lvlJc w:val="start"/>
      <w:pPr>
        <w:tabs>
          <w:tab w:val="num" w:pos="3240"/>
        </w:tabs>
        <w:ind w:start="3240" w:hanging="360"/>
      </w:pPr>
      <w:rPr/>
    </w:lvl>
    <w:lvl w:ilvl="5">
      <w:start w:val="1"/>
      <w:numFmt w:val="lowerRoman"/>
      <w:lvlText w:val="(%6)"/>
      <w:lvlJc w:val="start"/>
      <w:pPr>
        <w:tabs>
          <w:tab w:val="num" w:pos="3600"/>
        </w:tabs>
        <w:ind w:start="3600" w:hanging="360"/>
      </w:pPr>
      <w:rPr/>
    </w:lvl>
    <w:lvl w:ilvl="6">
      <w:start w:val="1"/>
      <w:numFmt w:val="decimal"/>
      <w:lvlText w:val="%7."/>
      <w:lvlJc w:val="start"/>
      <w:pPr>
        <w:tabs>
          <w:tab w:val="num" w:pos="3960"/>
        </w:tabs>
        <w:ind w:start="3960" w:hanging="360"/>
      </w:pPr>
      <w:rPr/>
    </w:lvl>
    <w:lvl w:ilvl="7">
      <w:start w:val="1"/>
      <w:numFmt w:val="lowerLetter"/>
      <w:lvlText w:val="%8."/>
      <w:lvlJc w:val="start"/>
      <w:pPr>
        <w:tabs>
          <w:tab w:val="num" w:pos="4320"/>
        </w:tabs>
        <w:ind w:start="4320" w:hanging="360"/>
      </w:pPr>
      <w:rPr/>
    </w:lvl>
    <w:lvl w:ilvl="8">
      <w:start w:val="1"/>
      <w:numFmt w:val="lowerRoman"/>
      <w:lvlText w:val="%9."/>
      <w:lvlJc w:val="start"/>
      <w:pPr>
        <w:tabs>
          <w:tab w:val="num" w:pos="4680"/>
        </w:tabs>
        <w:ind w:start="46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opyTitle" w:val="True"/>
    <w:docVar w:name="chkFederal" w:val="False"/>
    <w:docVar w:name="chkIncludeInSignature" w:val="False"/>
    <w:docVar w:name="chkOfCounsel" w:val="True"/>
    <w:docVar w:name="chkOptFName" w:val="False"/>
    <w:docVar w:name="chkState" w:val="False"/>
    <w:docVar w:name="chkTitlePage" w:val="False"/>
    <w:docVar w:name="cmbAttyName" w:val="330"/>
    <w:docVar w:name="cmbAuthorLists" w:val="-100"/>
    <w:docVar w:name="cmbCrossActions" w:val="none"/>
    <w:docVar w:name="cmbDated" w:val="0"/>
    <w:docVar w:name="cmbJurisdiction" w:val="Central"/>
    <w:docVar w:name="cmbOptBodyTextAlignment" w:val="0"/>
    <w:docVar w:name="cmbOptDated" w:val="0"/>
    <w:docVar w:name="cmbOptFonts" w:val="Times New Roman"/>
    <w:docVar w:name="cmbOptOffices" w:val="4"/>
    <w:docVar w:name="cmbOptPPaper" w:val="28-line"/>
    <w:docVar w:name="cmbOptSigType" w:val="Standard"/>
    <w:docVar w:name="cmbPrefLists" w:val="-100"/>
    <w:docVar w:name="cmbSetAuthorPref" w:val="330"/>
    <w:docVar w:name="iTrailerType" w:val="0"/>
    <w:docVar w:name="lstAttyList" w:val="330"/>
    <w:docVar w:name="lstCourts" w:val="U.S. District"/>
    <w:docVar w:name="lstSigType" w:val="Standard"/>
    <w:docVar w:name="OtherCaptionItems" w:val="†"/>
    <w:docVar w:name="packedarray" w:val="John W. Stamper†330"/>
    <w:docVar w:name="Restarted" w:val="True"/>
    <w:docVar w:name="tglUseFirmDefaults" w:val="False"/>
    <w:docVar w:name="txtAttyName" w:val="John W. Stamper"/>
    <w:docVar w:name="txtAttysFor" w:val="Plaintiff"/>
    <w:docVar w:name="txtCaseNo" w:val="Case No. "/>
    <w:docVar w:name="txtDocTitle" w:val="COMPLAINT FOR DECLARATORY AND INJUNCTIVE RELIEF"/>
    <w:docVar w:name="txtDPartyNames" w:val="THE PUBLIC UTILITIES COMMISSION OF THE STATE OF CALIFORNIA"/>
    <w:docVar w:name="txtDPartyTitle" w:val="Defendant"/>
    <w:docVar w:name="txtFooterText" w:val="COMPLAINT FOR DECLARATORY AND INJUNCTIVE RELIEF"/>
    <w:docVar w:name="txtJurisdiction" w:val="Central"/>
    <w:docVar w:name="txtOptFirstLine" w:val="1"/>
    <w:docVar w:name="txtOptFSize" w:val="13"/>
    <w:docVar w:name="txtOptLeftMargin" w:val="1.45"/>
    <w:docVar w:name="txtOptRightMargin" w:val=" .5"/>
    <w:docVar w:name="txtPPNames" w:val="SOUTHERN CALIFORNIA GAS AND ELECTRIC COMPANY"/>
    <w:docVar w:name="txtPPTitle" w:val="Plaintiff"/>
    <w:docVar w:name="zzmpFixed_MacPacVersion" w:val="97"/>
    <w:docVar w:name="zzmpFixed_PleadingPaperType" w:val="PP28None"/>
    <w:docVar w:name="zzmpFixedCurrentTOCScheme" w:val="Pleading1"/>
    <w:docVar w:name="zzmpFixedCurScheme" w:val="Pleading1"/>
    <w:docVar w:name="zzmpFixedDOC_ID" w:val="LA2:55195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widowControl/>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widowControl/>
      <w:numPr>
        <w:ilvl w:val="4"/>
        <w:numId w:val="1"/>
      </w:numPr>
      <w:spacing w:lineRule="auto" w:line="240" w:before="240" w:after="60"/>
      <w:outlineLvl w:val="4"/>
    </w:pPr>
    <w:rPr>
      <w:sz w:val="22"/>
    </w:rPr>
  </w:style>
  <w:style w:type="paragraph" w:styleId="Heading6">
    <w:name w:val="heading 6"/>
    <w:basedOn w:val="Normal"/>
    <w:next w:val="Normal"/>
    <w:qFormat/>
    <w:pPr>
      <w:widowControl/>
      <w:numPr>
        <w:ilvl w:val="5"/>
        <w:numId w:val="1"/>
      </w:numPr>
      <w:spacing w:lineRule="auto" w:line="240" w:before="240" w:after="60"/>
      <w:outlineLvl w:val="5"/>
    </w:pPr>
    <w:rPr>
      <w:i/>
      <w:sz w:val="22"/>
    </w:rPr>
  </w:style>
  <w:style w:type="paragraph" w:styleId="Heading7">
    <w:name w:val="heading 7"/>
    <w:basedOn w:val="Normal"/>
    <w:next w:val="Normal"/>
    <w:qFormat/>
    <w:pPr>
      <w:widowControl/>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lineRule="auto" w:line="240" w:before="240" w:after="60"/>
      <w:outlineLvl w:val="8"/>
    </w:pPr>
    <w:rPr>
      <w:rFonts w:ascii="Arial" w:hAnsi="Arial" w:cs="Arial"/>
      <w:b/>
      <w:i/>
      <w:sz w:val="1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u w:val="none"/>
    </w:rPr>
  </w:style>
  <w:style w:type="character" w:styleId="WW8Num10z1">
    <w:name w:val="WW8Num10z1"/>
    <w:qFormat/>
    <w:rPr>
      <w:rFonts w:ascii="Courier New" w:hAnsi="Courier New" w:cs="Courier New"/>
      <w:b/>
      <w:u w:val="none"/>
    </w:rPr>
  </w:style>
  <w:style w:type="character" w:styleId="WW8Num10z2">
    <w:name w:val="WW8Num10z2"/>
    <w:qFormat/>
    <w:rPr>
      <w:b w:val="false"/>
      <w:u w:val="none"/>
    </w:rPr>
  </w:style>
  <w:style w:type="character" w:styleId="WW8Num11z0">
    <w:name w:val="WW8Num11z0"/>
    <w:qFormat/>
    <w:rPr/>
  </w:style>
  <w:style w:type="character" w:styleId="WW8Num12z0">
    <w:name w:val="WW8Num12z0"/>
    <w:qFormat/>
    <w:rPr>
      <w:b/>
      <w:i w:val="false"/>
      <w:caps w:val="false"/>
      <w:smallCaps w:val="false"/>
      <w:strike w:val="false"/>
      <w:dstrike w:val="false"/>
      <w:outline w:val="false"/>
      <w:shadow w:val="false"/>
      <w:vanish w:val="false"/>
      <w:color w:val="0000FF"/>
      <w:position w:val="0"/>
      <w:sz w:val="24"/>
      <w:u w:val="none"/>
      <w:vertAlign w:val="baseline"/>
    </w:rPr>
  </w:style>
  <w:style w:type="character" w:styleId="WW8Num12z2">
    <w:name w:val="WW8Num12z2"/>
    <w:qFormat/>
    <w:rPr>
      <w:b w:val="false"/>
      <w:i w:val="false"/>
      <w:caps w:val="false"/>
      <w:smallCaps w:val="false"/>
      <w:strike w:val="false"/>
      <w:dstrike w:val="false"/>
      <w:outline w:val="false"/>
      <w:shadow w:val="false"/>
      <w:vanish w:val="false"/>
      <w:color w:val="0000FF"/>
      <w:position w:val="0"/>
      <w:sz w:val="24"/>
      <w:vertAlign w:val="baseline"/>
    </w:rPr>
  </w:style>
  <w:style w:type="character" w:styleId="WW8Num12z3">
    <w:name w:val="WW8Num1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2z4">
    <w:name w:val="WW8Num12z4"/>
    <w:qFormat/>
    <w:rPr>
      <w:caps w:val="false"/>
      <w:smallCaps w:val="false"/>
      <w:strike w:val="false"/>
      <w:dstrike w:val="false"/>
      <w:outline w:val="false"/>
      <w:shadow w:val="false"/>
      <w:vanish w:val="false"/>
      <w:color w:val="0000FF"/>
      <w:position w:val="0"/>
      <w:sz w:val="24"/>
      <w:u w:val="none"/>
      <w:vertAlign w:val="baseline"/>
    </w:rPr>
  </w:style>
  <w:style w:type="character" w:styleId="WW8Num13z0">
    <w:name w:val="WW8Num13z0"/>
    <w:qFormat/>
    <w:rPr>
      <w:b/>
      <w:i w:val="false"/>
      <w:caps w:val="false"/>
      <w:smallCaps w:val="false"/>
      <w:strike w:val="false"/>
      <w:dstrike w:val="false"/>
      <w:outline w:val="false"/>
      <w:shadow w:val="false"/>
      <w:vanish w:val="false"/>
      <w:color w:val="0000FF"/>
      <w:position w:val="0"/>
      <w:sz w:val="24"/>
      <w:u w:val="none"/>
      <w:vertAlign w:val="baseline"/>
    </w:rPr>
  </w:style>
  <w:style w:type="character" w:styleId="WW8Num13z2">
    <w:name w:val="WW8Num13z2"/>
    <w:qFormat/>
    <w:rPr>
      <w:b/>
      <w:i w:val="false"/>
      <w:caps w:val="false"/>
      <w:smallCaps w:val="false"/>
      <w:strike w:val="false"/>
      <w:dstrike w:val="false"/>
      <w:outline w:val="false"/>
      <w:shadow w:val="false"/>
      <w:vanish w:val="false"/>
      <w:color w:val="0000FF"/>
      <w:position w:val="0"/>
      <w:sz w:val="24"/>
      <w:vertAlign w:val="baseline"/>
    </w:rPr>
  </w:style>
  <w:style w:type="character" w:styleId="WW8Num13z4">
    <w:name w:val="WW8Num13z4"/>
    <w:qFormat/>
    <w:rPr>
      <w:caps w:val="false"/>
      <w:smallCaps w:val="false"/>
      <w:strike w:val="false"/>
      <w:dstrike w:val="false"/>
      <w:outline w:val="false"/>
      <w:shadow w:val="false"/>
      <w:vanish w:val="false"/>
      <w:color w:val="0000FF"/>
      <w:position w:val="0"/>
      <w:sz w:val="24"/>
      <w:u w:val="none"/>
      <w:vertAlign w:val="baseline"/>
    </w:rPr>
  </w:style>
  <w:style w:type="character" w:styleId="WW8Num14z0">
    <w:name w:val="WW8Num14z0"/>
    <w:qFormat/>
    <w:rPr>
      <w:b/>
      <w:i w:val="false"/>
      <w:caps w:val="false"/>
      <w:smallCaps w:val="false"/>
      <w:strike w:val="false"/>
      <w:dstrike w:val="false"/>
      <w:outline w:val="false"/>
      <w:shadow w:val="false"/>
      <w:vanish w:val="false"/>
      <w:color w:val="0000FF"/>
      <w:position w:val="0"/>
      <w:sz w:val="24"/>
      <w:u w:val="none"/>
      <w:vertAlign w:val="baseline"/>
    </w:rPr>
  </w:style>
  <w:style w:type="character" w:styleId="WW8Num14z2">
    <w:name w:val="WW8Num14z2"/>
    <w:qFormat/>
    <w:rPr>
      <w:b w:val="false"/>
      <w:i w:val="false"/>
      <w:caps w:val="false"/>
      <w:smallCaps w:val="false"/>
      <w:strike w:val="false"/>
      <w:dstrike w:val="false"/>
      <w:outline w:val="false"/>
      <w:shadow w:val="false"/>
      <w:vanish w:val="false"/>
      <w:color w:val="0000FF"/>
      <w:position w:val="0"/>
      <w:sz w:val="24"/>
      <w:vertAlign w:val="baseline"/>
    </w:rPr>
  </w:style>
  <w:style w:type="character" w:styleId="WW8Num14z3">
    <w:name w:val="WW8Num14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4z4">
    <w:name w:val="WW8Num14z4"/>
    <w:qFormat/>
    <w:rPr>
      <w:caps w:val="false"/>
      <w:smallCaps w:val="false"/>
      <w:strike w:val="false"/>
      <w:dstrike w:val="false"/>
      <w:outline w:val="false"/>
      <w:shadow w:val="false"/>
      <w:vanish w:val="false"/>
      <w:color w:val="0000FF"/>
      <w:position w:val="0"/>
      <w:sz w:val="24"/>
      <w:u w:val="none"/>
      <w:vertAlign w:val="baseline"/>
    </w:rPr>
  </w:style>
  <w:style w:type="character" w:styleId="WW8Num15z0">
    <w:name w:val="WW8Num15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b/>
      <w:i w:val="false"/>
      <w:caps w:val="false"/>
      <w:smallCaps w:val="false"/>
      <w:strike w:val="false"/>
      <w:dstrike w:val="false"/>
      <w:shadow w:val="false"/>
      <w:vanish w:val="false"/>
      <w:color w:val="0000FF"/>
      <w:position w:val="0"/>
      <w:sz w:val="24"/>
      <w:u w:val="none"/>
      <w:vertAlign w:val="baseline"/>
    </w:rPr>
  </w:style>
  <w:style w:type="character" w:styleId="WW8Num16z2">
    <w:name w:val="WW8Num16z2"/>
    <w:qFormat/>
    <w:rPr>
      <w:b w:val="false"/>
      <w:i w:val="false"/>
      <w:caps w:val="false"/>
      <w:smallCaps w:val="false"/>
      <w:strike w:val="false"/>
      <w:dstrike w:val="false"/>
      <w:shadow w:val="false"/>
      <w:vanish w:val="false"/>
      <w:color w:val="0000FF"/>
      <w:position w:val="0"/>
      <w:sz w:val="24"/>
      <w:vertAlign w:val="baseline"/>
    </w:rPr>
  </w:style>
  <w:style w:type="character" w:styleId="WW8Num16z3">
    <w:name w:val="WW8Num16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6z4">
    <w:name w:val="WW8Num16z4"/>
    <w:qFormat/>
    <w:rPr>
      <w:caps w:val="false"/>
      <w:smallCaps w:val="false"/>
      <w:strike w:val="false"/>
      <w:dstrike w:val="false"/>
      <w:shadow w:val="false"/>
      <w:vanish w:val="false"/>
      <w:color w:val="0000FF"/>
      <w:position w:val="0"/>
      <w:sz w:val="24"/>
      <w:u w:val="none"/>
      <w:vertAlign w:val="baseline"/>
    </w:rPr>
  </w:style>
  <w:style w:type="character" w:styleId="WW8Num16z7">
    <w:name w:val="WW8Num16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17z0">
    <w:name w:val="WW8Num17z0"/>
    <w:qFormat/>
    <w:rPr/>
  </w:style>
  <w:style w:type="character" w:styleId="WW8Num18z0">
    <w:name w:val="WW8Num18z0"/>
    <w:qFormat/>
    <w:rPr/>
  </w:style>
  <w:style w:type="character" w:styleId="WW8Num19z0">
    <w:name w:val="WW8Num19z0"/>
    <w:qFormat/>
    <w:rPr>
      <w:b/>
      <w:i w:val="false"/>
      <w:caps w:val="false"/>
      <w:smallCaps w:val="false"/>
      <w:strike w:val="false"/>
      <w:dstrike w:val="false"/>
      <w:shadow w:val="false"/>
      <w:vanish w:val="false"/>
      <w:color w:val="0000FF"/>
      <w:position w:val="0"/>
      <w:sz w:val="24"/>
      <w:u w:val="none"/>
      <w:vertAlign w:val="baseline"/>
    </w:rPr>
  </w:style>
  <w:style w:type="character" w:styleId="WW8Num19z2">
    <w:name w:val="WW8Num19z2"/>
    <w:qFormat/>
    <w:rPr>
      <w:b w:val="false"/>
      <w:i w:val="false"/>
      <w:caps w:val="false"/>
      <w:smallCaps w:val="false"/>
      <w:strike w:val="false"/>
      <w:dstrike w:val="false"/>
      <w:shadow w:val="false"/>
      <w:vanish w:val="false"/>
      <w:color w:val="0000FF"/>
      <w:position w:val="0"/>
      <w:sz w:val="24"/>
      <w:vertAlign w:val="baseline"/>
    </w:rPr>
  </w:style>
  <w:style w:type="character" w:styleId="WW8Num19z3">
    <w:name w:val="WW8Num19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9z4">
    <w:name w:val="WW8Num19z4"/>
    <w:qFormat/>
    <w:rPr>
      <w:caps w:val="false"/>
      <w:smallCaps w:val="false"/>
      <w:strike w:val="false"/>
      <w:dstrike w:val="false"/>
      <w:shadow w:val="false"/>
      <w:vanish w:val="false"/>
      <w:color w:val="0000FF"/>
      <w:position w:val="0"/>
      <w:sz w:val="24"/>
      <w:u w:val="none"/>
      <w:vertAlign w:val="baseline"/>
    </w:rPr>
  </w:style>
  <w:style w:type="character" w:styleId="WW8Num19z7">
    <w:name w:val="WW8Num19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20z0">
    <w:name w:val="WW8Num20z0"/>
    <w:qFormat/>
    <w:rPr>
      <w:rFonts w:ascii="Times New Roman" w:hAnsi="Times New Roman" w:cs="Times New Roman"/>
      <w:b w:val="false"/>
      <w:i w:val="false"/>
      <w:sz w:val="26"/>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position w:val="0"/>
      <w:sz w:val="16"/>
      <w:sz w:val="16"/>
      <w:u w:val="none"/>
      <w:effect w:val="blinkBackground"/>
      <w:vertAlign w:val="baseline"/>
    </w:rPr>
  </w:style>
  <w:style w:type="character" w:styleId="zzmpTCEntryL1">
    <w:name w:val="zzmpTCEntryL1"/>
    <w:basedOn w:val="DefaultParagraphFont"/>
    <w:qFormat/>
    <w:rPr>
      <w:b/>
      <w:caps/>
      <w:color w:val="0000FF"/>
      <w:u w:val="none"/>
    </w:rPr>
  </w:style>
  <w:style w:type="character" w:styleId="zzmpTCEntryL2">
    <w:name w:val="zzmpTCEntryL2"/>
    <w:basedOn w:val="DefaultParagraphFont"/>
    <w:qFormat/>
    <w:rPr>
      <w:b/>
      <w:color w:val="0000FF"/>
      <w:u w:val="none"/>
    </w:rPr>
  </w:style>
  <w:style w:type="character" w:styleId="zzmpTCEntryL3">
    <w:name w:val="zzmpTCEntryL3"/>
    <w:basedOn w:val="DefaultParagraphFont"/>
    <w:qFormat/>
    <w:rPr>
      <w:b/>
      <w:color w:val="0000FF"/>
      <w:u w:val="none"/>
    </w:rPr>
  </w:style>
  <w:style w:type="character" w:styleId="zzmpTCEntryL4">
    <w:name w:val="zzmpTCEntryL4"/>
    <w:basedOn w:val="DefaultParagraphFont"/>
    <w:qFormat/>
    <w:rPr>
      <w:b/>
      <w:color w:val="0000FF"/>
      <w:u w:val="none"/>
    </w:rPr>
  </w:style>
  <w:style w:type="character" w:styleId="zzmpTCEntryL5">
    <w:name w:val="zzmpTCEntryL5"/>
    <w:basedOn w:val="DefaultParagraphFont"/>
    <w:qFormat/>
    <w:rPr>
      <w:color w:val="0000FF"/>
      <w:u w:val="none"/>
    </w:rPr>
  </w:style>
  <w:style w:type="character" w:styleId="zzmpTCEntryL6">
    <w:name w:val="zzmpTCEntryL6"/>
    <w:basedOn w:val="DefaultParagraphFont"/>
    <w:qFormat/>
    <w:rPr>
      <w:color w:val="0000FF"/>
      <w:u w:val="none"/>
    </w:rPr>
  </w:style>
  <w:style w:type="character" w:styleId="zzmpTCEntryL7">
    <w:name w:val="zzmpTCEntryL7"/>
    <w:basedOn w:val="DefaultParagraphFont"/>
    <w:qFormat/>
    <w:rPr>
      <w:color w:val="0000FF"/>
      <w:u w:val="none"/>
    </w:rPr>
  </w:style>
  <w:style w:type="character" w:styleId="zzmpTCEntryL8">
    <w:name w:val="zzmpTCEntryL8"/>
    <w:basedOn w:val="DefaultParagraphFont"/>
    <w:qFormat/>
    <w:rPr>
      <w:color w:val="0000FF"/>
      <w:u w:val="none"/>
    </w:rPr>
  </w:style>
  <w:style w:type="character" w:styleId="zzmpTCEntryL9">
    <w:name w:val="zzmpTCEntryL9"/>
    <w:basedOn w:val="DefaultParagraphFont"/>
    <w:qFormat/>
    <w:rPr>
      <w:color w:val="0000FF"/>
      <w:u w:val="no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widowControl/>
      <w:spacing w:lineRule="exact" w:line="480" w:before="0" w:after="48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Quote">
    <w:name w:val="Quote"/>
    <w:basedOn w:val="Normal"/>
    <w:next w:val="BodyTextContinued"/>
    <w:qFormat/>
    <w:pPr>
      <w:widowControl/>
      <w:spacing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tabs>
        <w:tab w:val="clear" w:pos="720"/>
        <w:tab w:val="left" w:pos="5400" w:leader="none"/>
      </w:tabs>
      <w:ind w:hanging="0" w:start="4680" w:end="36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NormalWeb">
    <w:name w:val="Normal (Web)"/>
    <w:basedOn w:val="Normal"/>
    <w:qFormat/>
    <w:pPr>
      <w:widowControl/>
      <w:spacing w:lineRule="auto" w:line="240" w:before="100" w:after="100"/>
    </w:pPr>
    <w:rPr>
      <w:rFonts w:ascii="Arial Unicode MS" w:hAnsi="Arial Unicode MS" w:eastAsia="Arial Unicode MS" w:cs="Arial Unicode MS"/>
      <w:sz w:val="24"/>
      <w:szCs w:val="24"/>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lineRule="exact" w:line="240" w:before="0" w:after="120"/>
      <w:ind w:firstLine="210" w:start="0" w:end="0"/>
    </w:pPr>
    <w:rPr/>
  </w:style>
  <w:style w:type="paragraph" w:styleId="BodyTextIndent">
    <w:name w:val="Body Text Indent"/>
    <w:basedOn w:val="Normal"/>
    <w:pPr>
      <w:spacing w:lineRule="exact" w:line="480"/>
      <w:ind w:firstLine="1440" w:start="0" w:end="0"/>
    </w:pPr>
    <w:rPr/>
  </w:style>
  <w:style w:type="paragraph" w:styleId="BodyTextFirstIndent2">
    <w:name w:val="Body Text First Indent 2"/>
    <w:basedOn w:val="BodyTextIndent"/>
    <w:qFormat/>
    <w:pPr>
      <w:ind w:firstLine="21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60" w:start="260" w:end="0"/>
    </w:pPr>
    <w:rPr/>
  </w:style>
  <w:style w:type="paragraph" w:styleId="Index2">
    <w:name w:val="index 2"/>
    <w:basedOn w:val="Normal"/>
    <w:next w:val="Normal"/>
    <w:pPr>
      <w:ind w:hanging="260" w:start="520" w:end="0"/>
    </w:pPr>
    <w:rPr/>
  </w:style>
  <w:style w:type="paragraph" w:styleId="Index3">
    <w:name w:val="index 3"/>
    <w:basedOn w:val="Normal"/>
    <w:next w:val="Normal"/>
    <w:pPr>
      <w:ind w:hanging="260" w:start="780" w:end="0"/>
    </w:pPr>
    <w:rPr/>
  </w:style>
  <w:style w:type="paragraph" w:styleId="Index4">
    <w:name w:val="Index 4"/>
    <w:basedOn w:val="Normal"/>
    <w:next w:val="Normal"/>
    <w:qFormat/>
    <w:pPr>
      <w:ind w:hanging="260" w:start="1040" w:end="0"/>
    </w:pPr>
    <w:rPr/>
  </w:style>
  <w:style w:type="paragraph" w:styleId="Index5">
    <w:name w:val="Index 5"/>
    <w:basedOn w:val="Normal"/>
    <w:next w:val="Normal"/>
    <w:qFormat/>
    <w:pPr>
      <w:ind w:hanging="260" w:start="1300" w:end="0"/>
    </w:pPr>
    <w:rPr/>
  </w:style>
  <w:style w:type="paragraph" w:styleId="Index6">
    <w:name w:val="Index 6"/>
    <w:basedOn w:val="Normal"/>
    <w:next w:val="Normal"/>
    <w:qFormat/>
    <w:pPr>
      <w:ind w:hanging="260" w:start="1560" w:end="0"/>
    </w:pPr>
    <w:rPr/>
  </w:style>
  <w:style w:type="paragraph" w:styleId="Index7">
    <w:name w:val="Index 7"/>
    <w:basedOn w:val="Normal"/>
    <w:next w:val="Normal"/>
    <w:qFormat/>
    <w:pPr>
      <w:ind w:hanging="260" w:start="1820" w:end="0"/>
    </w:pPr>
    <w:rPr/>
  </w:style>
  <w:style w:type="paragraph" w:styleId="Index8">
    <w:name w:val="Index 8"/>
    <w:basedOn w:val="Normal"/>
    <w:next w:val="Normal"/>
    <w:qFormat/>
    <w:pPr>
      <w:ind w:hanging="260" w:start="2080" w:end="0"/>
    </w:pPr>
    <w:rPr/>
  </w:style>
  <w:style w:type="paragraph" w:styleId="Index9">
    <w:name w:val="Index 9"/>
    <w:basedOn w:val="Normal"/>
    <w:next w:val="Normal"/>
    <w:qFormat/>
    <w:pPr>
      <w:ind w:hanging="260" w:start="234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pPr>
    <w:rPr/>
  </w:style>
  <w:style w:type="paragraph" w:styleId="ListBullet21">
    <w:name w:val="List Bullet 21"/>
    <w:basedOn w:val="Normal"/>
    <w:qFormat/>
    <w:pPr>
      <w:numPr>
        <w:ilvl w:val="0"/>
        <w:numId w:val="8"/>
      </w:numPr>
    </w:pPr>
    <w:rPr/>
  </w:style>
  <w:style w:type="paragraph" w:styleId="ListBullet31">
    <w:name w:val="List Bullet 31"/>
    <w:basedOn w:val="Normal"/>
    <w:qFormat/>
    <w:pPr>
      <w:numPr>
        <w:ilvl w:val="0"/>
        <w:numId w:val="7"/>
      </w:numPr>
    </w:pPr>
    <w:rPr/>
  </w:style>
  <w:style w:type="paragraph" w:styleId="ListBullet41">
    <w:name w:val="List Bullet 41"/>
    <w:basedOn w:val="Normal"/>
    <w:qFormat/>
    <w:pPr>
      <w:numPr>
        <w:ilvl w:val="0"/>
        <w:numId w:val="6"/>
      </w:numPr>
    </w:pPr>
    <w:rPr/>
  </w:style>
  <w:style w:type="paragraph" w:styleId="ListBullet51">
    <w:name w:val="List Bullet 51"/>
    <w:basedOn w:val="Normal"/>
    <w:qFormat/>
    <w:pPr>
      <w:numPr>
        <w:ilvl w:val="0"/>
        <w:numId w:val="5"/>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5"/>
      </w:numPr>
      <w:spacing w:lineRule="exact" w:line="480" w:before="0" w:after="24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Figures">
    <w:name w:val="Table of Figures"/>
    <w:basedOn w:val="Normal"/>
    <w:next w:val="Normal"/>
    <w:qFormat/>
    <w:pPr>
      <w:ind w:hanging="520" w:start="520" w:end="0"/>
    </w:pPr>
    <w:rPr/>
  </w:style>
  <w:style w:type="paragraph" w:styleId="NumContinue">
    <w:name w:val="Num Continue"/>
    <w:basedOn w:val="BodyText"/>
    <w:qFormat/>
    <w:pPr>
      <w:spacing w:lineRule="exact" w:line="240" w:before="240" w:after="480"/>
    </w:pPr>
    <w:rPr/>
  </w:style>
  <w:style w:type="paragraph" w:styleId="StandardL1">
    <w:name w:val="Standard_L1"/>
    <w:basedOn w:val="Normal"/>
    <w:next w:val="NumContinue"/>
    <w:qFormat/>
    <w:pPr>
      <w:widowControl/>
      <w:numPr>
        <w:ilvl w:val="0"/>
        <w:numId w:val="14"/>
      </w:numPr>
      <w:spacing w:before="240" w:after="0"/>
      <w:outlineLvl w:val="0"/>
    </w:pPr>
    <w:rPr/>
  </w:style>
  <w:style w:type="paragraph" w:styleId="StandardL2">
    <w:name w:val="Standard_L2"/>
    <w:basedOn w:val="StandardL1"/>
    <w:next w:val="NumContinue"/>
    <w:qFormat/>
    <w:pPr>
      <w:numPr>
        <w:ilvl w:val="0"/>
        <w:numId w:val="14"/>
      </w:numPr>
      <w:outlineLvl w:val="1"/>
    </w:pPr>
    <w:rPr/>
  </w:style>
  <w:style w:type="paragraph" w:styleId="StandardL3">
    <w:name w:val="Standard_L3"/>
    <w:basedOn w:val="StandardL2"/>
    <w:next w:val="NumContinue"/>
    <w:qFormat/>
    <w:pPr>
      <w:numPr>
        <w:ilvl w:val="0"/>
        <w:numId w:val="12"/>
      </w:numPr>
      <w:outlineLvl w:val="2"/>
    </w:pPr>
    <w:rPr/>
  </w:style>
  <w:style w:type="paragraph" w:styleId="Pleading3L1">
    <w:name w:val="Pleading3_L1"/>
    <w:basedOn w:val="Normal"/>
    <w:next w:val="NumContinue"/>
    <w:qFormat/>
    <w:pPr>
      <w:widowControl/>
      <w:numPr>
        <w:ilvl w:val="0"/>
        <w:numId w:val="12"/>
      </w:numPr>
      <w:spacing w:before="240" w:after="0"/>
      <w:ind w:hanging="0" w:start="2160" w:end="2160"/>
      <w:jc w:val="center"/>
      <w:outlineLvl w:val="0"/>
    </w:pPr>
    <w:rPr>
      <w:b/>
      <w:caps/>
      <w:color w:val="0000FF"/>
    </w:rPr>
  </w:style>
  <w:style w:type="paragraph" w:styleId="Pleading3L2">
    <w:name w:val="Pleading3_L2"/>
    <w:basedOn w:val="Pleading3L1"/>
    <w:next w:val="NumContinue"/>
    <w:qFormat/>
    <w:pPr>
      <w:numPr>
        <w:ilvl w:val="0"/>
        <w:numId w:val="12"/>
      </w:numPr>
      <w:ind w:hanging="0" w:start="2160" w:end="0"/>
      <w:jc w:val="start"/>
      <w:outlineLvl w:val="1"/>
    </w:pPr>
    <w:rPr>
      <w:caps w:val="false"/>
      <w:smallCaps w:val="false"/>
    </w:rPr>
  </w:style>
  <w:style w:type="paragraph" w:styleId="Pleading3L3">
    <w:name w:val="Pleading3_L3"/>
    <w:basedOn w:val="Pleading3L2"/>
    <w:next w:val="NumContinue"/>
    <w:qFormat/>
    <w:pPr>
      <w:numPr>
        <w:ilvl w:val="0"/>
        <w:numId w:val="12"/>
      </w:numPr>
      <w:outlineLvl w:val="2"/>
    </w:pPr>
    <w:rPr/>
  </w:style>
  <w:style w:type="paragraph" w:styleId="Pleading3L4">
    <w:name w:val="Pleading3_L4"/>
    <w:basedOn w:val="Pleading3L3"/>
    <w:next w:val="NumContinue"/>
    <w:qFormat/>
    <w:pPr>
      <w:numPr>
        <w:ilvl w:val="0"/>
        <w:numId w:val="12"/>
      </w:numPr>
      <w:outlineLvl w:val="3"/>
    </w:pPr>
    <w:rPr/>
  </w:style>
  <w:style w:type="paragraph" w:styleId="Pleading3L5">
    <w:name w:val="Pleading3_L5"/>
    <w:basedOn w:val="Pleading3L4"/>
    <w:next w:val="NumContinue"/>
    <w:qFormat/>
    <w:pPr>
      <w:numPr>
        <w:ilvl w:val="0"/>
        <w:numId w:val="12"/>
      </w:numPr>
      <w:outlineLvl w:val="4"/>
    </w:pPr>
    <w:rPr>
      <w:b w:val="false"/>
    </w:rPr>
  </w:style>
  <w:style w:type="paragraph" w:styleId="Pleading2L1">
    <w:name w:val="Pleading2_L1"/>
    <w:basedOn w:val="Normal"/>
    <w:next w:val="BodyText"/>
    <w:qFormat/>
    <w:pPr>
      <w:keepNext w:val="true"/>
      <w:keepLines/>
      <w:numPr>
        <w:ilvl w:val="0"/>
        <w:numId w:val="11"/>
      </w:numPr>
      <w:spacing w:before="240" w:after="0"/>
      <w:jc w:val="center"/>
      <w:outlineLvl w:val="0"/>
    </w:pPr>
    <w:rPr>
      <w:b/>
      <w:caps/>
      <w:color w:val="0000FF"/>
      <w:u w:val="single"/>
    </w:rPr>
  </w:style>
  <w:style w:type="paragraph" w:styleId="Pleading2L2">
    <w:name w:val="Pleading2_L2"/>
    <w:basedOn w:val="Pleading2L1"/>
    <w:next w:val="BodyText"/>
    <w:qFormat/>
    <w:pPr>
      <w:numPr>
        <w:ilvl w:val="0"/>
        <w:numId w:val="11"/>
      </w:numPr>
      <w:jc w:val="start"/>
      <w:outlineLvl w:val="1"/>
    </w:pPr>
    <w:rPr>
      <w:caps w:val="false"/>
      <w:smallCaps w:val="false"/>
    </w:rPr>
  </w:style>
  <w:style w:type="paragraph" w:styleId="Pleading2L3">
    <w:name w:val="Pleading2_L3"/>
    <w:basedOn w:val="Pleading2L2"/>
    <w:next w:val="BodyText"/>
    <w:qFormat/>
    <w:pPr>
      <w:numPr>
        <w:ilvl w:val="0"/>
        <w:numId w:val="11"/>
      </w:numPr>
      <w:outlineLvl w:val="2"/>
    </w:pPr>
    <w:rPr>
      <w:b w:val="false"/>
      <w:u w:val="none"/>
    </w:rPr>
  </w:style>
  <w:style w:type="paragraph" w:styleId="Pleading2L4">
    <w:name w:val="Pleading2_L4"/>
    <w:basedOn w:val="Pleading2L3"/>
    <w:next w:val="BodyText"/>
    <w:qFormat/>
    <w:pPr>
      <w:numPr>
        <w:ilvl w:val="0"/>
        <w:numId w:val="11"/>
      </w:numPr>
      <w:outlineLvl w:val="3"/>
    </w:pPr>
    <w:rPr/>
  </w:style>
  <w:style w:type="paragraph" w:styleId="Pleading2L5">
    <w:name w:val="Pleading2_L5"/>
    <w:basedOn w:val="Pleading2L4"/>
    <w:next w:val="BodyText"/>
    <w:qFormat/>
    <w:pPr>
      <w:numPr>
        <w:ilvl w:val="0"/>
        <w:numId w:val="11"/>
      </w:numPr>
      <w:outlineLvl w:val="4"/>
    </w:pPr>
    <w:rPr/>
  </w:style>
  <w:style w:type="paragraph" w:styleId="Pleading2L6">
    <w:name w:val="Pleading2_L6"/>
    <w:basedOn w:val="Pleading2L5"/>
    <w:next w:val="BodyText"/>
    <w:qFormat/>
    <w:pPr>
      <w:numPr>
        <w:ilvl w:val="0"/>
        <w:numId w:val="11"/>
      </w:numPr>
      <w:outlineLvl w:val="5"/>
    </w:pPr>
    <w:rPr/>
  </w:style>
  <w:style w:type="paragraph" w:styleId="Pleading2L7">
    <w:name w:val="Pleading2_L7"/>
    <w:basedOn w:val="Pleading2L6"/>
    <w:next w:val="BodyText"/>
    <w:qFormat/>
    <w:pPr>
      <w:numPr>
        <w:ilvl w:val="0"/>
        <w:numId w:val="11"/>
      </w:numPr>
      <w:outlineLvl w:val="6"/>
    </w:pPr>
    <w:rPr/>
  </w:style>
  <w:style w:type="paragraph" w:styleId="Pleading2L8">
    <w:name w:val="Pleading2_L8"/>
    <w:basedOn w:val="Pleading2L7"/>
    <w:next w:val="BodyText"/>
    <w:qFormat/>
    <w:pPr>
      <w:numPr>
        <w:ilvl w:val="0"/>
        <w:numId w:val="11"/>
      </w:numPr>
      <w:outlineLvl w:val="7"/>
    </w:pPr>
    <w:rPr/>
  </w:style>
  <w:style w:type="paragraph" w:styleId="Pleading2L9">
    <w:name w:val="Pleading2_L9"/>
    <w:basedOn w:val="Pleading2L8"/>
    <w:next w:val="BodyText"/>
    <w:qFormat/>
    <w:pPr>
      <w:numPr>
        <w:ilvl w:val="0"/>
        <w:numId w:val="11"/>
      </w:numPr>
      <w:outlineLvl w:val="8"/>
    </w:pPr>
    <w:rPr/>
  </w:style>
  <w:style w:type="paragraph" w:styleId="Pleading1L1">
    <w:name w:val="Pleading1_L1"/>
    <w:basedOn w:val="Normal"/>
    <w:next w:val="BodyText"/>
    <w:qFormat/>
    <w:pPr>
      <w:keepNext w:val="true"/>
      <w:keepLines/>
      <w:numPr>
        <w:ilvl w:val="0"/>
        <w:numId w:val="13"/>
      </w:numPr>
      <w:spacing w:lineRule="exact" w:line="480" w:before="0" w:after="480"/>
      <w:outlineLvl w:val="0"/>
    </w:pPr>
    <w:rPr>
      <w:b/>
      <w:caps/>
      <w:color w:val="0000FF"/>
      <w:u w:val="single"/>
    </w:rPr>
  </w:style>
  <w:style w:type="paragraph" w:styleId="Pleading1L2">
    <w:name w:val="Pleading1_L2"/>
    <w:basedOn w:val="Pleading1L1"/>
    <w:next w:val="BodyText"/>
    <w:qFormat/>
    <w:pPr>
      <w:numPr>
        <w:ilvl w:val="0"/>
        <w:numId w:val="13"/>
      </w:numPr>
      <w:outlineLvl w:val="1"/>
    </w:pPr>
    <w:rPr>
      <w:caps w:val="false"/>
      <w:smallCaps w:val="false"/>
    </w:rPr>
  </w:style>
  <w:style w:type="paragraph" w:styleId="Pleading1L3">
    <w:name w:val="Pleading1_L3"/>
    <w:basedOn w:val="Pleading1L2"/>
    <w:next w:val="BodyText"/>
    <w:qFormat/>
    <w:pPr>
      <w:numPr>
        <w:ilvl w:val="0"/>
        <w:numId w:val="13"/>
      </w:numPr>
      <w:outlineLvl w:val="2"/>
    </w:pPr>
    <w:rPr>
      <w:b w:val="false"/>
      <w:u w:val="none"/>
    </w:rPr>
  </w:style>
  <w:style w:type="paragraph" w:styleId="Pleading1L4">
    <w:name w:val="Pleading1_L4"/>
    <w:basedOn w:val="Pleading1L3"/>
    <w:next w:val="BodyText"/>
    <w:qFormat/>
    <w:pPr>
      <w:numPr>
        <w:ilvl w:val="0"/>
        <w:numId w:val="13"/>
      </w:numPr>
      <w:outlineLvl w:val="3"/>
    </w:pPr>
    <w:rPr/>
  </w:style>
  <w:style w:type="paragraph" w:styleId="Pleading1L5">
    <w:name w:val="Pleading1_L5"/>
    <w:basedOn w:val="Pleading1L4"/>
    <w:next w:val="BodyText"/>
    <w:qFormat/>
    <w:pPr>
      <w:numPr>
        <w:ilvl w:val="0"/>
        <w:numId w:val="13"/>
      </w:numPr>
      <w:outlineLvl w:val="4"/>
    </w:pPr>
    <w:rPr/>
  </w:style>
  <w:style w:type="paragraph" w:styleId="Pleading1L6">
    <w:name w:val="Pleading1_L6"/>
    <w:basedOn w:val="Pleading1L5"/>
    <w:next w:val="BodyText"/>
    <w:qFormat/>
    <w:pPr>
      <w:numPr>
        <w:ilvl w:val="0"/>
        <w:numId w:val="13"/>
      </w:numPr>
      <w:outlineLvl w:val="5"/>
    </w:pPr>
    <w:rPr/>
  </w:style>
  <w:style w:type="paragraph" w:styleId="Pleading1L7">
    <w:name w:val="Pleading1_L7"/>
    <w:basedOn w:val="Pleading1L6"/>
    <w:next w:val="BodyText"/>
    <w:qFormat/>
    <w:pPr>
      <w:numPr>
        <w:ilvl w:val="0"/>
        <w:numId w:val="13"/>
      </w:numPr>
      <w:outlineLvl w:val="6"/>
    </w:pPr>
    <w:rPr/>
  </w:style>
  <w:style w:type="paragraph" w:styleId="Pleading1L8">
    <w:name w:val="Pleading1_L8"/>
    <w:basedOn w:val="Pleading1L7"/>
    <w:next w:val="BodyText"/>
    <w:qFormat/>
    <w:pPr>
      <w:numPr>
        <w:ilvl w:val="0"/>
        <w:numId w:val="13"/>
      </w:numPr>
      <w:outlineLvl w:val="7"/>
    </w:pPr>
    <w:rPr/>
  </w:style>
  <w:style w:type="paragraph" w:styleId="Pleading1L9">
    <w:name w:val="Pleading1_L9"/>
    <w:basedOn w:val="Pleading1L8"/>
    <w:next w:val="BodyText"/>
    <w:qFormat/>
    <w:pPr>
      <w:numPr>
        <w:ilvl w:val="0"/>
        <w:numId w:val="13"/>
      </w:numPr>
      <w:outlineLvl w:val="8"/>
    </w:pPr>
    <w:rPr/>
  </w:style>
  <w:style w:type="paragraph" w:styleId="noindent">
    <w:name w:val="no indent"/>
    <w:basedOn w:val="BodyText"/>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CA.dot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2001-02-05T19:25:00Z</dcterms:created>
  <dc:creator>Gary Fergus</dc:creator>
  <dc:description/>
  <dc:language>en-CA</dc:language>
  <cp:lastModifiedBy>Gary Fergus</cp:lastModifiedBy>
  <cp:lastPrinted>2001-02-01T21:49:00Z</cp:lastPrinted>
  <dcterms:modified xsi:type="dcterms:W3CDTF">2001-02-06T13:55:00Z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D:\Enron\CalPX\groupdoc</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