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rPr>
      </w:pPr>
      <w:r>
        <w:rPr>
          <w:rFonts w:cs="Arial" w:ascii="Arial" w:hAnsi="Arial"/>
          <w:sz w:val="24"/>
        </w:rPr>
        <w:t>COLORADO DEPARTMENT OF PUBLIC HEALTH AND ENVIRONMENT</w:t>
      </w:r>
    </w:p>
    <w:p>
      <w:pPr>
        <w:pStyle w:val="Normal"/>
        <w:rPr>
          <w:rFonts w:ascii="Arial" w:hAnsi="Arial" w:cs="Arial"/>
          <w:sz w:val="24"/>
        </w:rPr>
      </w:pPr>
      <w:r>
        <w:rPr>
          <w:rFonts w:cs="Arial" w:ascii="Arial" w:hAnsi="Arial"/>
          <w:sz w:val="24"/>
        </w:rPr>
        <w:t>Division or Section of APCD/Stationary Sources Program</w:t>
      </w:r>
    </w:p>
    <w:p>
      <w:pPr>
        <w:pStyle w:val="Normal"/>
        <w:rPr>
          <w:rFonts w:ascii="Arial" w:hAnsi="Arial" w:cs="Arial"/>
          <w:sz w:val="24"/>
        </w:rPr>
      </w:pPr>
      <w:r>
        <w:rPr>
          <w:rFonts w:cs="Arial" w:ascii="Arial" w:hAnsi="Arial"/>
          <w:sz w:val="24"/>
        </w:rPr>
      </w:r>
    </w:p>
    <w:p>
      <w:pPr>
        <w:pStyle w:val="Normal"/>
        <w:tabs>
          <w:tab w:val="clear" w:pos="720"/>
          <w:tab w:val="center" w:pos="4680" w:leader="none"/>
        </w:tabs>
        <w:rPr>
          <w:sz w:val="24"/>
        </w:rPr>
      </w:pPr>
      <w:r>
        <w:rPr>
          <w:sz w:val="24"/>
        </w:rPr>
        <w:tab/>
      </w:r>
      <w:r>
        <w:rPr>
          <w:b/>
          <w:bCs/>
          <w:sz w:val="24"/>
          <w:u w:val="single"/>
        </w:rPr>
        <w:t>INTER-OFFICE COMMUNICATION</w:t>
      </w:r>
    </w:p>
    <w:p>
      <w:pPr>
        <w:pStyle w:val="Normal"/>
        <w:rPr>
          <w:sz w:val="24"/>
        </w:rPr>
      </w:pPr>
      <w:r>
        <w:rPr>
          <w:sz w:val="24"/>
        </w:rPr>
      </w:r>
    </w:p>
    <w:p>
      <w:pPr>
        <w:pStyle w:val="Normal"/>
        <w:rPr>
          <w:rFonts w:ascii="Arial" w:hAnsi="Arial" w:cs="Arial"/>
          <w:sz w:val="24"/>
        </w:rPr>
      </w:pPr>
      <w:r>
        <w:rPr>
          <w:rFonts w:cs="Arial" w:ascii="Arial" w:hAnsi="Arial"/>
          <w:sz w:val="24"/>
        </w:rPr>
        <w:t>PS Memo #:</w:t>
        <w:tab/>
        <w:t>98-007</w:t>
      </w:r>
    </w:p>
    <w:p>
      <w:pPr>
        <w:pStyle w:val="Normal"/>
        <w:rPr>
          <w:rFonts w:ascii="Arial" w:hAnsi="Arial" w:cs="Arial"/>
          <w:sz w:val="24"/>
        </w:rPr>
      </w:pPr>
      <w:r>
        <w:rPr>
          <w:rFonts w:cs="Arial" w:ascii="Arial" w:hAnsi="Arial"/>
          <w:sz w:val="24"/>
        </w:rPr>
      </w:r>
    </w:p>
    <w:p>
      <w:pPr>
        <w:pStyle w:val="Normal"/>
        <w:tabs>
          <w:tab w:val="clear" w:pos="720"/>
          <w:tab w:val="left" w:pos="-1440" w:leader="none"/>
          <w:tab w:val="left" w:pos="-720" w:leader="none"/>
          <w:tab w:val="left" w:pos="0" w:leader="none"/>
          <w:tab w:val="left" w:pos="1440" w:leader="none"/>
        </w:tabs>
        <w:ind w:hanging="1440" w:start="1440" w:end="0"/>
        <w:rPr>
          <w:rFonts w:ascii="Arial" w:hAnsi="Arial" w:cs="Arial"/>
          <w:sz w:val="24"/>
        </w:rPr>
      </w:pPr>
      <w:r>
        <w:rPr>
          <w:rFonts w:cs="Arial" w:ascii="Arial" w:hAnsi="Arial"/>
          <w:sz w:val="24"/>
        </w:rPr>
        <w:t>TO:</w:t>
        <w:tab/>
        <w:t>OP Engineers</w:t>
      </w:r>
    </w:p>
    <w:p>
      <w:pPr>
        <w:pStyle w:val="Normal"/>
        <w:tabs>
          <w:tab w:val="clear" w:pos="720"/>
          <w:tab w:val="left" w:pos="-1440" w:leader="none"/>
          <w:tab w:val="left" w:pos="-720" w:leader="none"/>
          <w:tab w:val="left" w:pos="0" w:leader="none"/>
          <w:tab w:val="left" w:pos="1440" w:leader="none"/>
        </w:tabs>
        <w:rPr>
          <w:rFonts w:ascii="Arial" w:hAnsi="Arial" w:cs="Arial"/>
          <w:sz w:val="24"/>
        </w:rPr>
      </w:pPr>
      <w:r>
        <w:rPr>
          <w:rFonts w:cs="Arial" w:ascii="Arial" w:hAnsi="Arial"/>
          <w:sz w:val="24"/>
        </w:rPr>
      </w:r>
    </w:p>
    <w:p>
      <w:pPr>
        <w:pStyle w:val="Normal"/>
        <w:tabs>
          <w:tab w:val="clear" w:pos="720"/>
          <w:tab w:val="left" w:pos="-1440" w:leader="none"/>
          <w:tab w:val="left" w:pos="-720" w:leader="none"/>
          <w:tab w:val="left" w:pos="0" w:leader="none"/>
          <w:tab w:val="left" w:pos="1440" w:leader="none"/>
        </w:tabs>
        <w:ind w:hanging="1440" w:start="1440" w:end="0"/>
        <w:rPr>
          <w:rFonts w:ascii="Arial" w:hAnsi="Arial" w:cs="Arial"/>
          <w:sz w:val="24"/>
        </w:rPr>
      </w:pPr>
      <w:r>
        <w:rPr>
          <w:rFonts w:cs="Arial" w:ascii="Arial" w:hAnsi="Arial"/>
          <w:sz w:val="24"/>
        </w:rPr>
        <w:t>FROM:</w:t>
        <w:tab/>
        <w:t xml:space="preserve">Jim King </w:t>
      </w:r>
    </w:p>
    <w:p>
      <w:pPr>
        <w:pStyle w:val="Normal"/>
        <w:tabs>
          <w:tab w:val="clear" w:pos="720"/>
          <w:tab w:val="left" w:pos="-1440" w:leader="none"/>
          <w:tab w:val="left" w:pos="-720" w:leader="none"/>
          <w:tab w:val="left" w:pos="0" w:leader="none"/>
          <w:tab w:val="left" w:pos="1440" w:leader="none"/>
        </w:tabs>
        <w:rPr>
          <w:rFonts w:ascii="Arial" w:hAnsi="Arial" w:cs="Arial"/>
          <w:sz w:val="24"/>
        </w:rPr>
      </w:pPr>
      <w:r>
        <w:rPr>
          <w:rFonts w:cs="Arial" w:ascii="Arial" w:hAnsi="Arial"/>
          <w:sz w:val="24"/>
        </w:rPr>
      </w:r>
    </w:p>
    <w:p>
      <w:pPr>
        <w:pStyle w:val="Normal"/>
        <w:tabs>
          <w:tab w:val="clear" w:pos="720"/>
          <w:tab w:val="left" w:pos="-1440" w:leader="none"/>
          <w:tab w:val="left" w:pos="-720" w:leader="none"/>
          <w:tab w:val="left" w:pos="0" w:leader="none"/>
          <w:tab w:val="left" w:pos="1440" w:leader="none"/>
        </w:tabs>
        <w:ind w:hanging="1440" w:start="1440" w:end="0"/>
        <w:rPr>
          <w:rFonts w:ascii="Arial" w:hAnsi="Arial" w:cs="Arial"/>
          <w:sz w:val="24"/>
        </w:rPr>
      </w:pPr>
      <w:r>
        <w:rPr>
          <w:rFonts w:cs="Arial" w:ascii="Arial" w:hAnsi="Arial"/>
          <w:sz w:val="24"/>
        </w:rPr>
        <w:t>DATE:</w:t>
        <w:tab/>
        <w:t>October 15, 1998</w:t>
      </w:r>
    </w:p>
    <w:p>
      <w:pPr>
        <w:pStyle w:val="Normal"/>
        <w:tabs>
          <w:tab w:val="clear" w:pos="720"/>
          <w:tab w:val="left" w:pos="-1440" w:leader="none"/>
          <w:tab w:val="left" w:pos="-720" w:leader="none"/>
          <w:tab w:val="left" w:pos="0" w:leader="none"/>
          <w:tab w:val="left" w:pos="1440" w:leader="none"/>
        </w:tabs>
        <w:rPr>
          <w:rFonts w:ascii="Arial" w:hAnsi="Arial" w:cs="Arial"/>
          <w:sz w:val="24"/>
        </w:rPr>
      </w:pPr>
      <w:r>
        <w:rPr>
          <w:rFonts w:cs="Arial" w:ascii="Arial" w:hAnsi="Arial"/>
          <w:sz w:val="24"/>
        </w:rPr>
      </w:r>
    </w:p>
    <w:p>
      <w:pPr>
        <w:pStyle w:val="Normal"/>
        <w:tabs>
          <w:tab w:val="clear" w:pos="720"/>
          <w:tab w:val="left" w:pos="-1440" w:leader="none"/>
          <w:tab w:val="left" w:pos="-720" w:leader="none"/>
          <w:tab w:val="left" w:pos="0" w:leader="none"/>
          <w:tab w:val="left" w:pos="1440" w:leader="none"/>
        </w:tabs>
        <w:ind w:hanging="1440" w:start="1440" w:end="0"/>
        <w:rPr>
          <w:sz w:val="24"/>
        </w:rPr>
      </w:pPr>
      <w:r>
        <w:rPr>
          <w:rFonts w:cs="Arial" w:ascii="Arial" w:hAnsi="Arial"/>
          <w:sz w:val="24"/>
        </w:rPr>
        <w:t>RE:</w:t>
        <w:tab/>
        <w:t>Turbine Alternate Operating Scenarios</w:t>
      </w:r>
    </w:p>
    <w:p>
      <w:pPr>
        <w:pStyle w:val="Normal"/>
        <w:tabs>
          <w:tab w:val="clear" w:pos="720"/>
          <w:tab w:val="left" w:pos="-1440" w:leader="none"/>
          <w:tab w:val="left" w:pos="-720" w:leader="none"/>
          <w:tab w:val="left" w:pos="0" w:leader="none"/>
          <w:tab w:val="left" w:pos="1440" w:leader="none"/>
        </w:tabs>
        <w:rPr>
          <w:sz w:val="24"/>
        </w:rPr>
      </w:pPr>
      <w:r>
        <w:rP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126"/>
        <w:rPr>
          <w:rFonts w:ascii="Arial" w:hAnsi="Arial" w:cs="Arial"/>
          <w:sz w:val="24"/>
          <w:lang w:val="en-CA" w:eastAsia="en-CA"/>
        </w:rPr>
      </w:pPr>
      <w:r>
        <w:rPr>
          <w:rFonts w:cs="Arial" w:ascii="Arial" w:hAnsi="Arial"/>
          <w:sz w:val="24"/>
          <w:lang w:val="en-CA" w:eastAsia="en-CA"/>
        </w:rPr>
        <mc:AlternateContent>
          <mc:Choice Requires="wps">
            <w:drawing>
              <wp:anchor behindDoc="1" distT="0" distB="0" distL="114935" distR="114935" simplePos="0" locked="0" layoutInCell="0" allowOverlap="1" relativeHeight="2">
                <wp:simplePos x="0" y="0"/>
                <wp:positionH relativeFrom="page">
                  <wp:posOffset>914400</wp:posOffset>
                </wp:positionH>
                <wp:positionV relativeFrom="paragraph">
                  <wp:posOffset>635</wp:posOffset>
                </wp:positionV>
                <wp:extent cx="5943600" cy="80010"/>
                <wp:effectExtent l="0" t="0" r="0" b="0"/>
                <wp:wrapNone/>
                <wp:docPr id="1" name=""/>
                <a:graphic xmlns:a="http://schemas.openxmlformats.org/drawingml/2006/main">
                  <a:graphicData uri="http://schemas.microsoft.com/office/word/2010/wordprocessingShape">
                    <wps:wsp>
                      <wps:cNvSpPr/>
                      <wps:spPr>
                        <a:xfrm>
                          <a:off x="0" y="0"/>
                          <a:ext cx="5943600" cy="7992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6.25pt;mso-wrap-style:none;v-text-anchor:middle;mso-position-horizontal-relative:page">
                <v:fill o:detectmouseclick="t" type="solid" color2="white"/>
                <v:stroke color="#3465a4" joinstyle="round" endcap="flat"/>
                <w10:wrap type="none"/>
              </v:rect>
            </w:pict>
          </mc:Fallback>
        </mc:AlternateConten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t>The attached Alternate Operating Scenario (AOS) permit conditions are intended to provide the Industry with flexibility to make equipment changes in response to maintenance and business demands.  The Division understands that in this industry equipment outages are common and that there exists a critical need to be able to replace the equipment quickly.  It is the purpose of this AOS to try and provide that flexibility while still maintaining practical enforceability of both construction and operating permits and meeting all state and federal regulatory requirements.  It should be noted that this AOS is being implemented on a trial basis, will not be applied retroactively, and may need to be amended as conditions warrant.  Future changes in Federal or State rules may also require changes.  Note that this applies to replacement turbines only, not to new emission points for the site.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Arial" w:ascii="Arial" w:hAnsi="Arial"/>
          <w:b/>
          <w:bCs/>
          <w:sz w:val="24"/>
        </w:rPr>
        <w:t>These scenarios apply to NSPS GG sources only</w:t>
      </w:r>
      <w:r>
        <w:rPr>
          <w:rFonts w:cs="Arial" w:ascii="Arial" w:hAnsi="Arial"/>
          <w:sz w:val="24"/>
        </w:rPr>
        <w:t xml:space="preserve">.  Any turbine currently operating that was constructed prior to the NSPS applicability date would have to go through the CP or combined OP/CP process to install a new (NSPS) turbine.  In general, any situation not covered by this memo will require that the facility utilize the appropriate Operating Permit minor or significant modification procedures or obtain a new or modified construction permit, as appropriate.  Note that none of the testing discussion relates to the NSPS or Reg 1 SO2 limits or the Reg 1 fuel burning particulate limit.  </w:t>
      </w:r>
      <w:r>
        <w:rPr>
          <w:rFonts w:cs="Arial" w:ascii="Arial" w:hAnsi="Arial"/>
          <w:i/>
          <w:iCs/>
          <w:sz w:val="24"/>
        </w:rPr>
        <w:t>Note to OP engineers:</w:t>
      </w:r>
      <w:r>
        <w:rPr>
          <w:rFonts w:cs="Arial" w:ascii="Arial" w:hAnsi="Arial"/>
          <w:sz w:val="24"/>
        </w:rPr>
        <w:t xml:space="preserve"> Those can be handled with the natural gas fuel restriction (be sure to use the same phrasing as for the opacity)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t xml:space="preserve">These AOS cover like-kind replacement only, i.e. the replacement turbine must be the same make, manufacturer, and horsepower.  Since the dispersion characteristics of the like-kind replacement turbines will not differ from those of the existing turbines, the permit review engineer may not need to conduct (or have the source conduct) appropriate modeling to demonstrate that operation of the permanent replacement turbines will not cause a violation of the NAAQS.  A possible exception to this general rule would be a situation wherein the emissions from the existing turbines at a facility have not been previously modeled.  In such cases, the review engineer may conduct/require such appropriate modeling for the permanent turbine replacement AOS.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t>Note that in order to use this AOS that the source must specifically ask that it be included in their permit and must agree to the monitoring required in the AOS.  In the case of a grandfathered or permit exempt turbine that is not covered by an Operating Permit, the facility would have to voluntarily seek a construction permit, thus losing their grandfathered or permit exempt status.  If the facility is covered by an Operating Permit, the engine may maintain its grandfathered or permit exempt status.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Arial" w:ascii="Arial" w:hAnsi="Arial"/>
          <w:sz w:val="24"/>
        </w:rPr>
        <w:t xml:space="preserve">Aero turbines are composed of different sections.  When this memo/AOS refers to </w:t>
      </w:r>
      <w:r>
        <w:rPr>
          <w:rFonts w:cs="WP TypographicSymbols" w:ascii="WP TypographicSymbols" w:hAnsi="WP TypographicSymbols"/>
          <w:sz w:val="24"/>
        </w:rPr>
        <w:t>A</w:t>
      </w:r>
      <w:r>
        <w:rPr>
          <w:rFonts w:cs="Arial" w:ascii="Arial" w:hAnsi="Arial"/>
          <w:sz w:val="24"/>
        </w:rPr>
        <w:t>replacing the turbine</w:t>
      </w:r>
      <w:r>
        <w:rPr>
          <w:rFonts w:cs="WP TypographicSymbols" w:ascii="WP TypographicSymbols" w:hAnsi="WP TypographicSymbols"/>
          <w:sz w:val="24"/>
        </w:rPr>
        <w:t>@</w:t>
      </w:r>
      <w:r>
        <w:rPr>
          <w:rFonts w:cs="Arial" w:ascii="Arial" w:hAnsi="Arial"/>
          <w:sz w:val="24"/>
        </w:rPr>
        <w:t xml:space="preserve">, it includes replacing the entire turbine, the </w:t>
      </w:r>
      <w:r>
        <w:rPr>
          <w:rFonts w:cs="WP TypographicSymbols" w:ascii="WP TypographicSymbols" w:hAnsi="WP TypographicSymbols"/>
          <w:sz w:val="24"/>
        </w:rPr>
        <w:t>A</w:t>
      </w:r>
      <w:r>
        <w:rPr>
          <w:rFonts w:cs="Arial" w:ascii="Arial" w:hAnsi="Arial"/>
          <w:sz w:val="24"/>
        </w:rPr>
        <w:t>gas generator</w:t>
      </w:r>
      <w:r>
        <w:rPr>
          <w:rFonts w:cs="WP TypographicSymbols" w:ascii="WP TypographicSymbols" w:hAnsi="WP TypographicSymbols"/>
          <w:sz w:val="24"/>
        </w:rPr>
        <w:t>@</w:t>
      </w:r>
      <w:r>
        <w:rPr>
          <w:rFonts w:cs="Arial" w:ascii="Arial" w:hAnsi="Arial"/>
          <w:sz w:val="24"/>
        </w:rPr>
        <w:t xml:space="preserve"> section of the turbine, the combustion chamber, or any other part or section of the turbine that the Division determines may result in an increase in emissions from the turbine.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t xml:space="preserve">Replacement turbines must meet all of the permit conditions for the original turbine, including fuel use limits.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b/>
          <w:bCs/>
          <w:sz w:val="24"/>
        </w:rPr>
        <w:t>Turbine Replacement: Overview</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i/>
          <w:iCs/>
          <w:sz w:val="24"/>
        </w:rPr>
        <w:t>Alternative Operating Scenario #1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Arial" w:ascii="Arial" w:hAnsi="Arial"/>
          <w:sz w:val="24"/>
        </w:rPr>
        <w:t>Allows a facility to either temporarily or permanently replace an existing turbine with the exact make and model turbine. It can be used only for permitted turbines that are equipped with both NOx and CO CEM</w:t>
      </w:r>
      <w:r>
        <w:rPr>
          <w:rFonts w:cs="WP TypographicSymbols" w:ascii="WP TypographicSymbols" w:hAnsi="WP TypographicSymbols"/>
          <w:sz w:val="24"/>
        </w:rPr>
        <w:t>=</w:t>
      </w:r>
      <w:r>
        <w:rPr>
          <w:rFonts w:cs="Arial" w:ascii="Arial" w:hAnsi="Arial"/>
          <w:sz w:val="24"/>
        </w:rPr>
        <w:t>s as well as an oxygen monitor.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i/>
          <w:iCs/>
          <w:sz w:val="24"/>
        </w:rPr>
        <w:t>Alternative Operating Scenario #2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Arial" w:ascii="Arial" w:hAnsi="Arial"/>
          <w:sz w:val="24"/>
        </w:rPr>
        <w:t>Allows a facility to either temporarily (up to 90 total days in any 12 month period) or permanently replace an existing turbine with the exact make and model turbine. The 90 days is a total number of days that the source is operating.  If they operate only part of a day, that day counts towards the 90 day total.  This AOS should be used for permitted turbines that are</w:t>
      </w:r>
      <w:r>
        <w:rPr>
          <w:rFonts w:cs="Arial" w:ascii="Arial" w:hAnsi="Arial"/>
          <w:b/>
          <w:bCs/>
          <w:sz w:val="24"/>
        </w:rPr>
        <w:t xml:space="preserve"> NOT </w:t>
      </w:r>
      <w:r>
        <w:rPr>
          <w:rFonts w:cs="Arial" w:ascii="Arial" w:hAnsi="Arial"/>
          <w:sz w:val="24"/>
        </w:rPr>
        <w:t>equipped with both NOX and CO CEM</w:t>
      </w:r>
      <w:r>
        <w:rPr>
          <w:rFonts w:cs="WP TypographicSymbols" w:ascii="WP TypographicSymbols" w:hAnsi="WP TypographicSymbols"/>
          <w:sz w:val="24"/>
        </w:rPr>
        <w:t>=</w:t>
      </w:r>
      <w:r>
        <w:rPr>
          <w:rFonts w:cs="Arial" w:ascii="Arial" w:hAnsi="Arial"/>
          <w:sz w:val="24"/>
        </w:rPr>
        <w:t>s as well as an oxygen monitor. Portable monitoring and/or a stack test will be required to monitor compliance of the permanent replacement turbine with the original turbine</w:t>
      </w:r>
      <w:r>
        <w:rPr>
          <w:rFonts w:cs="WP TypographicSymbols" w:ascii="WP TypographicSymbols" w:hAnsi="WP TypographicSymbols"/>
          <w:sz w:val="24"/>
        </w:rPr>
        <w:t>=</w:t>
      </w:r>
      <w:r>
        <w:rPr>
          <w:rFonts w:cs="Arial" w:ascii="Arial" w:hAnsi="Arial"/>
          <w:sz w:val="24"/>
        </w:rPr>
        <w:t>s permitted emission limits</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b/>
          <w:bCs/>
          <w:sz w:val="28"/>
          <w:szCs w:val="28"/>
        </w:rPr>
        <w:t>AOS #1: Sources with CEMs</w:t>
      </w:r>
      <w:r>
        <w:rPr>
          <w:rFonts w:cs="Arial" w:ascii="Arial" w:hAnsi="Arial"/>
          <w:b/>
          <w:bCs/>
          <w:sz w:val="24"/>
        </w:rPr>
        <w:t xml:space="preserve"> </w:t>
      </w:r>
      <w:r>
        <w:rPr>
          <w:rFonts w:cs="Arial" w:ascii="Arial" w:hAnsi="Arial"/>
          <w:b/>
          <w:bCs/>
          <w:sz w:val="28"/>
          <w:szCs w:val="28"/>
        </w:rPr>
        <w:t xml:space="preserve">  </w:t>
      </w:r>
      <w:r>
        <w:rPr>
          <w:rFonts w:cs="Arial" w:ascii="Arial" w:hAnsi="Arial"/>
          <w:b/>
          <w:bCs/>
          <w:sz w:val="24"/>
        </w:rPr>
        <w:t>(Permit AOS Language Starts Here)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b/>
          <w:bCs/>
          <w:szCs w:val="20"/>
        </w:rPr>
      </w:pPr>
      <w:r>
        <w:rPr>
          <w:rFonts w:cs="Arial" w:ascii="Arial" w:hAnsi="Arial"/>
          <w:sz w:val="24"/>
        </w:rPr>
        <w:t>4.</w:t>
        <w:tab/>
      </w:r>
      <w:r>
        <w:rPr>
          <w:rFonts w:cs="Arial" w:ascii="Arial" w:hAnsi="Arial"/>
          <w:b/>
          <w:bCs/>
          <w:sz w:val="24"/>
        </w:rPr>
        <w:t>Alternative Operating Scenarios</w:t>
      </w:r>
      <w:r>
        <w:rPr>
          <w:rFonts w:cs="Arial" w:ascii="Arial" w:hAnsi="Arial"/>
          <w:sz w:val="24"/>
        </w:rPr>
        <w:tab/>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Arial" w:hAnsi="Arial" w:cs="Arial"/>
          <w:b/>
          <w:bCs/>
          <w:sz w:val="24"/>
          <w:szCs w:val="20"/>
        </w:rPr>
      </w:pPr>
      <w:r>
        <w:rPr>
          <w:rFonts w:cs="Arial" w:ascii="Arial" w:hAnsi="Arial"/>
          <w:b/>
          <w:bCs/>
          <w:sz w:val="24"/>
          <w:szCs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rFonts w:ascii="Arial" w:hAnsi="Arial" w:cs="Arial"/>
          <w:sz w:val="24"/>
        </w:rPr>
      </w:pPr>
      <w:r>
        <w:rPr>
          <w:rFonts w:cs="Arial" w:ascii="Arial" w:hAnsi="Arial"/>
          <w:sz w:val="24"/>
        </w:rPr>
        <w:t>The following Alternative Operating Scenario (AOS) for temporary and permanent cobmustion turbine replacement has been reviewed in accordance with the requirements of Regulation No. 3., Part A, Section IV.A, Operational Flexibility-Alternative Operating Scenarios, and Regulation No. 3, Part B, Construction Permits, and has been found to meet all applicable substantive and procedural requirements.  This permit incorporates and shall be considered a construction permit for any combustion turbine replacement performed in accordance with this AOS, and the permittee shall be allowed to perform such turbine replacement without applying for a revision to this permit or obtaining a new Construction Permit.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rFonts w:ascii="Arial" w:hAnsi="Arial" w:cs="Arial"/>
          <w:sz w:val="24"/>
        </w:rPr>
      </w:pPr>
      <w:r>
        <w:rPr>
          <w:rFonts w:cs="Arial" w:ascii="Arial" w:hAnsi="Arial"/>
          <w:sz w:val="24"/>
        </w:rPr>
        <w:t>For purposes of Regulation No. 3, Part B, Section IV.G.4.a., any turbine replacement authorized under this AOS shall commence operation upon notation of same in the contemporaneous log as required below.  Results of any testing required below shall be normalized for comparison to the applicable permitted emission limits.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t>4.1</w:t>
        <w:tab/>
      </w:r>
      <w:r>
        <w:rPr>
          <w:rFonts w:cs="Arial" w:ascii="Arial" w:hAnsi="Arial"/>
          <w:b/>
          <w:bCs/>
          <w:sz w:val="24"/>
        </w:rPr>
        <w:t>Turbine Replacement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rFonts w:cs="Arial" w:ascii="Arial" w:hAnsi="Arial"/>
          <w:sz w:val="24"/>
        </w:rPr>
        <w:t>The following AOS may be incorporated into a permittee</w:t>
      </w:r>
      <w:r>
        <w:rPr>
          <w:rFonts w:cs="WP TypographicSymbols" w:ascii="WP TypographicSymbols" w:hAnsi="WP TypographicSymbols"/>
          <w:sz w:val="24"/>
        </w:rPr>
        <w:t>=</w:t>
      </w:r>
      <w:r>
        <w:rPr>
          <w:rFonts w:cs="Arial" w:ascii="Arial" w:hAnsi="Arial"/>
          <w:sz w:val="24"/>
        </w:rPr>
        <w:t>s operating permit in order to deal with a turbine breakdown or periodic routine maintenance and repair which requires the use of either a temporary or permanent replacement turbine.  Note that the compliance demonstrations made as part of this AOS are in addition to any compliance demonstrations required by the permit.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pPr>
      <w:r>
        <w:rPr>
          <w:rFonts w:cs="Arial" w:ascii="Arial" w:hAnsi="Arial"/>
          <w:sz w:val="24"/>
        </w:rPr>
        <w:t>4.1.1.</w:t>
        <w:tab/>
        <w:t xml:space="preserve">The permittee may replace an existing turbine provided such replacement turbines are </w:t>
      </w:r>
      <w:r>
        <w:rPr>
          <w:rFonts w:cs="Arial" w:ascii="Arial" w:hAnsi="Arial"/>
          <w:b/>
          <w:bCs/>
          <w:sz w:val="24"/>
        </w:rPr>
        <w:t>[e.g.GE LM6000]</w:t>
      </w:r>
      <w:r>
        <w:rPr>
          <w:rFonts w:cs="Arial" w:ascii="Arial" w:hAnsi="Arial"/>
          <w:sz w:val="24"/>
        </w:rPr>
        <w:t xml:space="preserve"> combustion turbines without modifying this permit.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pPr>
      <w:r>
        <w:rPr>
          <w:rFonts w:cs="Arial" w:ascii="Arial" w:hAnsi="Arial"/>
          <w:sz w:val="24"/>
        </w:rPr>
        <w:t>4.1.2</w:t>
        <w:tab/>
        <w:t>Replacement turbines are subject to all federally applicable and state-only requirements set forth in this permit (including monitoring and record keeping),</w:t>
      </w:r>
      <w:r>
        <w:rPr>
          <w:rFonts w:cs="Arial" w:ascii="Arial" w:hAnsi="Arial"/>
          <w:b/>
          <w:bCs/>
          <w:sz w:val="24"/>
        </w:rPr>
        <w:t xml:space="preserve"> and shall be subject to any shield afforded by this permit</w:t>
      </w:r>
      <w:r>
        <w:rPr>
          <w:rFonts w:cs="Arial" w:ascii="Arial" w:hAnsi="Arial"/>
          <w:sz w:val="24"/>
        </w:rPr>
        <w:t xml:space="preserve"> (</w:t>
      </w:r>
      <w:r>
        <w:rPr>
          <w:rFonts w:cs="Arial" w:ascii="Arial" w:hAnsi="Arial"/>
          <w:i/>
          <w:iCs/>
          <w:sz w:val="28"/>
          <w:szCs w:val="28"/>
        </w:rPr>
        <w:t>use bolded for OP</w:t>
      </w:r>
      <w:r>
        <w:rPr>
          <w:rFonts w:cs="WP TypographicSymbols" w:ascii="WP TypographicSymbols" w:hAnsi="WP TypographicSymbols"/>
          <w:i/>
          <w:iCs/>
          <w:sz w:val="28"/>
          <w:szCs w:val="28"/>
        </w:rPr>
        <w:t>=</w:t>
      </w:r>
      <w:r>
        <w:rPr>
          <w:rFonts w:cs="Arial" w:ascii="Arial" w:hAnsi="Arial"/>
          <w:i/>
          <w:iCs/>
          <w:sz w:val="28"/>
          <w:szCs w:val="28"/>
        </w:rPr>
        <w:t>s only</w:t>
      </w:r>
      <w:r>
        <w:rPr>
          <w:rFonts w:cs="Arial" w:ascii="Arial" w:hAnsi="Arial"/>
          <w:sz w:val="24"/>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rFonts w:ascii="Arial" w:hAnsi="Arial" w:cs="Arial"/>
          <w:sz w:val="24"/>
        </w:rPr>
      </w:pPr>
      <w:r>
        <w:rPr>
          <w:rFonts w:cs="Arial" w:ascii="Arial" w:hAnsi="Arial"/>
          <w:sz w:val="24"/>
        </w:rPr>
        <w:t xml:space="preserve">4.1.3 </w:t>
        <w:tab/>
        <w:t>The permittee shall maintain a log on-site to contemporaneously record the date of any turbine replacement, the manufacturer, model number, and serial number of the turbine(s) that are replaced during the term of this permit, and the manufacturer, model number, and serial number of the replacement turbine.  All records related to any testing shall be maintained on-site for five (5) years and made available to the Division upon request.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rFonts w:ascii="Arial" w:hAnsi="Arial" w:cs="Arial"/>
          <w:sz w:val="24"/>
        </w:rPr>
      </w:pPr>
      <w:r>
        <w:rPr>
          <w:rFonts w:cs="Arial" w:ascii="Arial" w:hAnsi="Arial"/>
          <w:sz w:val="24"/>
        </w:rPr>
        <w:t xml:space="preserve">4.1.4 </w:t>
        <w:tab/>
        <w:t>An Air Pollutant Emissions Notice (APEN) (that includes the specific manufacturer, model and serial number of the permanent replacement turbine) shall be filed with the Division for the permanent replacement turbine within 14 calendar days of commencing operation of the replacement.  The APEN shall be accompanied by the appropriate APEN filing fee and a cover letter explaining that the permittee is exercising an alternative operating scenario and is installing a permanent replacement turbine.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pPr>
      <w:r>
        <w:rPr>
          <w:rFonts w:cs="Arial" w:ascii="Arial" w:hAnsi="Arial"/>
          <w:sz w:val="24"/>
        </w:rPr>
        <w:t xml:space="preserve">4.1.5 </w:t>
        <w:tab/>
        <w:t xml:space="preserve">For the purposes of this AOS, the word </w:t>
      </w:r>
      <w:r>
        <w:rPr>
          <w:rFonts w:cs="WP TypographicSymbols" w:ascii="WP TypographicSymbols" w:hAnsi="WP TypographicSymbols"/>
          <w:sz w:val="24"/>
        </w:rPr>
        <w:t>A</w:t>
      </w:r>
      <w:r>
        <w:rPr>
          <w:rFonts w:cs="Arial" w:ascii="Arial" w:hAnsi="Arial"/>
          <w:sz w:val="24"/>
        </w:rPr>
        <w:t>turbine</w:t>
      </w:r>
      <w:r>
        <w:rPr>
          <w:rFonts w:cs="WP TypographicSymbols" w:ascii="WP TypographicSymbols" w:hAnsi="WP TypographicSymbols"/>
          <w:sz w:val="24"/>
        </w:rPr>
        <w:t>@</w:t>
      </w:r>
      <w:r>
        <w:rPr>
          <w:rFonts w:cs="Arial" w:ascii="Arial" w:hAnsi="Arial"/>
          <w:sz w:val="24"/>
        </w:rPr>
        <w:t xml:space="preserve"> shall refer to the </w:t>
      </w:r>
      <w:r>
        <w:rPr>
          <w:rFonts w:cs="WP TypographicSymbols" w:ascii="WP TypographicSymbols" w:hAnsi="WP TypographicSymbols"/>
          <w:sz w:val="24"/>
        </w:rPr>
        <w:t>A</w:t>
      </w:r>
      <w:r>
        <w:rPr>
          <w:rFonts w:cs="Arial" w:ascii="Arial" w:hAnsi="Arial"/>
          <w:sz w:val="24"/>
        </w:rPr>
        <w:t>gas generator</w:t>
      </w:r>
      <w:r>
        <w:rPr>
          <w:rFonts w:cs="WP TypographicSymbols" w:ascii="WP TypographicSymbols" w:hAnsi="WP TypographicSymbols"/>
          <w:sz w:val="24"/>
        </w:rPr>
        <w:t>@</w:t>
      </w:r>
      <w:r>
        <w:rPr>
          <w:rFonts w:cs="Arial" w:ascii="Arial" w:hAnsi="Arial"/>
          <w:sz w:val="24"/>
        </w:rPr>
        <w:t xml:space="preserve"> section of the turbine, the combustion chamber, or any other part or section of the turbine that the Division determines may result in an increase in emissions from the turbine.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rFonts w:ascii="Arial" w:hAnsi="Arial" w:cs="Arial"/>
          <w:sz w:val="24"/>
        </w:rPr>
      </w:pPr>
      <w:r>
        <w:rPr>
          <w:rFonts w:cs="Arial" w:ascii="Arial" w:hAnsi="Arial"/>
          <w:sz w:val="24"/>
        </w:rPr>
        <w:t xml:space="preserve">4.1.6 </w:t>
        <w:tab/>
        <w:t>The permittee shall agree to pay fees based on the normal permit processing rate for review of information submitted to the Division in regard to any turbine replacement.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t xml:space="preserve">4.2 </w:t>
      </w:r>
      <w:r>
        <w:rPr>
          <w:rFonts w:cs="Arial" w:ascii="Arial" w:hAnsi="Arial"/>
          <w:b/>
          <w:bCs/>
          <w:sz w:val="24"/>
        </w:rPr>
        <w:tab/>
        <w:t>Additional Sources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rFonts w:ascii="Arial" w:hAnsi="Arial" w:cs="Arial"/>
          <w:sz w:val="24"/>
        </w:rPr>
      </w:pPr>
      <w:r>
        <w:rPr>
          <w:rFonts w:cs="Arial" w:ascii="Arial" w:hAnsi="Arial"/>
          <w:sz w:val="24"/>
        </w:rPr>
        <w:t>Current State Air Quality Regulations do not allow for advanced New Source Review in the absence of discrete and verifiable information concerning future installations.  Therefore, any additional operational changes requiring new equipment at this facility not addressed by these Alternative Operating Scenarios will need to undergo appropriate Regulation No. 3 review procedures.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Arial" w:ascii="Arial" w:hAnsi="Arial"/>
          <w:b/>
          <w:bCs/>
          <w:sz w:val="28"/>
          <w:szCs w:val="28"/>
        </w:rPr>
        <w:t xml:space="preserve">AOS #2: Sources without CEMs  </w:t>
      </w:r>
      <w:r>
        <w:rPr>
          <w:rFonts w:cs="Arial" w:ascii="Arial" w:hAnsi="Arial"/>
          <w:b/>
          <w:bCs/>
          <w:sz w:val="24"/>
        </w:rPr>
        <w:t>(Permit AOS Language Starts Here)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b/>
          <w:bCs/>
          <w:sz w:val="24"/>
        </w:rPr>
      </w:pPr>
      <w:r>
        <w:rPr>
          <w:rFonts w:cs="Arial" w:ascii="Arial" w:hAnsi="Arial"/>
          <w:b/>
          <w:bCs/>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b/>
          <w:bCs/>
          <w:szCs w:val="20"/>
        </w:rPr>
      </w:pPr>
      <w:r>
        <w:rPr>
          <w:rFonts w:cs="Arial" w:ascii="Arial" w:hAnsi="Arial"/>
          <w:sz w:val="24"/>
        </w:rPr>
        <w:t>4.</w:t>
        <w:tab/>
      </w:r>
      <w:r>
        <w:rPr>
          <w:rFonts w:cs="Arial" w:ascii="Arial" w:hAnsi="Arial"/>
          <w:b/>
          <w:bCs/>
          <w:sz w:val="24"/>
        </w:rPr>
        <w:t>Alternative Operating Scenarios</w:t>
      </w:r>
      <w:r>
        <w:rPr>
          <w:rFonts w:cs="Arial" w:ascii="Arial" w:hAnsi="Arial"/>
          <w:sz w:val="24"/>
        </w:rPr>
        <w:tab/>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rPr>
          <w:rFonts w:ascii="Arial" w:hAnsi="Arial" w:cs="Arial"/>
          <w:b/>
          <w:bCs/>
          <w:sz w:val="24"/>
          <w:szCs w:val="20"/>
        </w:rPr>
      </w:pPr>
      <w:r>
        <w:rPr>
          <w:rFonts w:cs="Arial" w:ascii="Arial" w:hAnsi="Arial"/>
          <w:b/>
          <w:bCs/>
          <w:sz w:val="24"/>
          <w:szCs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rFonts w:ascii="Arial" w:hAnsi="Arial" w:cs="Arial"/>
          <w:sz w:val="24"/>
        </w:rPr>
      </w:pPr>
      <w:r>
        <w:rPr>
          <w:rFonts w:cs="Arial" w:ascii="Arial" w:hAnsi="Arial"/>
          <w:sz w:val="24"/>
        </w:rPr>
        <w:t>The following Alternative Operating Scenario (AOS) for temporary and permanent combustion turbine replacement has been reviewed in accordance with the requirements of Regulation No. 3., Part A, Section IV.A, Operational Flexibility-Alternative Operating Scenarios, and Regulation No. 3, Part B, Construction Permits, and has been found to meet all applicable substantive and procedural requirements.  This permit incorporates and shall be considered a construction permit for any combustion turbine replacement performed in accordance with this AOS, and the permittee shall be allowed to perform such turbine replacement without applying for a revision to this permit or obtaining a new Construction Permit.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rFonts w:ascii="Arial" w:hAnsi="Arial" w:cs="Arial"/>
          <w:sz w:val="24"/>
        </w:rPr>
      </w:pPr>
      <w:r>
        <w:rPr>
          <w:rFonts w:cs="Arial" w:ascii="Arial" w:hAnsi="Arial"/>
          <w:sz w:val="24"/>
        </w:rPr>
        <w:t>For purposes of Regulation No. 3, Part B, Section IV.G.4.a., any turbine replacement authorized under this AOS shall commence operation upon notation of same in the contemporaneous log as required below.  Results of any testing required below shall be normalized for comparison to the applicable permitted emission limits.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t>4.1</w:t>
        <w:tab/>
      </w:r>
      <w:r>
        <w:rPr>
          <w:rFonts w:cs="Arial" w:ascii="Arial" w:hAnsi="Arial"/>
          <w:b/>
          <w:bCs/>
          <w:sz w:val="24"/>
        </w:rPr>
        <w:t>Temporary Turbine Replacement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rFonts w:cs="Arial" w:ascii="Arial" w:hAnsi="Arial"/>
          <w:sz w:val="24"/>
        </w:rPr>
        <w:t>The following alternative operating scenarios is incorporated into a permittee</w:t>
      </w:r>
      <w:r>
        <w:rPr>
          <w:rFonts w:cs="WP TypographicSymbols" w:ascii="WP TypographicSymbols" w:hAnsi="WP TypographicSymbols"/>
          <w:sz w:val="24"/>
        </w:rPr>
        <w:t>=</w:t>
      </w:r>
      <w:r>
        <w:rPr>
          <w:rFonts w:cs="Arial" w:ascii="Arial" w:hAnsi="Arial"/>
          <w:sz w:val="24"/>
        </w:rPr>
        <w:t>s operating permit in order to deal with a turbine breakdown or periodic routine maintenance and repair which requires the use of a temporary replacement turbine (defined as in the same service for 90 days or less in any 12 month period).  Note that the compliance demonstrations made as part of this AOS are in addition to any compliance demonstrations required by the permit.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pPr>
      <w:r>
        <w:rPr>
          <w:rFonts w:cs="Arial" w:ascii="Arial" w:hAnsi="Arial"/>
          <w:sz w:val="24"/>
        </w:rPr>
        <w:t>4.1.1.</w:t>
        <w:tab/>
        <w:t>The permittee may temporarily replace an existing turbine provided such replacement turbines are</w:t>
      </w:r>
      <w:r>
        <w:rPr>
          <w:rFonts w:cs="Arial" w:ascii="Arial" w:hAnsi="Arial"/>
          <w:b/>
          <w:bCs/>
          <w:sz w:val="24"/>
        </w:rPr>
        <w:t xml:space="preserve"> [e.g. GE LM6000]</w:t>
      </w:r>
      <w:r>
        <w:rPr>
          <w:rFonts w:cs="Arial" w:ascii="Arial" w:hAnsi="Arial"/>
          <w:sz w:val="24"/>
        </w:rPr>
        <w:t xml:space="preserve"> combustion turbines without modifying this permit.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rFonts w:eastAsia="Arial" w:cs="Arial" w:ascii="Arial" w:hAnsi="Arial"/>
          <w:sz w:val="24"/>
        </w:rPr>
        <w:t xml:space="preserve">  </w:t>
      </w:r>
      <w:r>
        <w:rPr>
          <w:rFonts w:cs="Arial" w:ascii="Arial" w:hAnsi="Arial"/>
          <w:sz w:val="24"/>
        </w:rPr>
        <w:tab/>
        <w:tab/>
        <w:t>The permittee shall measure nitrogen oxide (NO</w:t>
      </w:r>
      <w:r>
        <w:rPr>
          <w:rFonts w:cs="Arial" w:ascii="Arial" w:hAnsi="Arial"/>
          <w:sz w:val="24"/>
          <w:vertAlign w:val="subscript"/>
        </w:rPr>
        <w:t>x</w:t>
      </w:r>
      <w:r>
        <w:rPr>
          <w:rFonts w:cs="Arial" w:ascii="Arial" w:hAnsi="Arial"/>
          <w:sz w:val="24"/>
        </w:rPr>
        <w:t>) and carbon monoxide (CO) emissions in the exhaust from the temporary replacement turbine using a portable flue gas analyzer within seven (7) calendar days of commencing operation of the temporary replacement turbine.  Calibration of the analyzer shall be conducted according to manufacturer</w:t>
      </w:r>
      <w:r>
        <w:rPr>
          <w:rFonts w:cs="WP TypographicSymbols" w:ascii="WP TypographicSymbols" w:hAnsi="WP TypographicSymbols"/>
          <w:sz w:val="24"/>
        </w:rPr>
        <w:t>=</w:t>
      </w:r>
      <w:r>
        <w:rPr>
          <w:rFonts w:cs="Arial" w:ascii="Arial" w:hAnsi="Arial"/>
          <w:sz w:val="24"/>
        </w:rPr>
        <w:t xml:space="preserve">s instructions.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rFonts w:ascii="Arial" w:hAnsi="Arial" w:cs="Arial"/>
          <w:sz w:val="24"/>
        </w:rPr>
      </w:pPr>
      <w:r>
        <w:rPr>
          <w:rFonts w:cs="Arial" w:ascii="Arial" w:hAnsi="Arial"/>
          <w:sz w:val="24"/>
        </w:rPr>
        <w:t xml:space="preserve">In the absence of evidence to the contrary, results of the portable flue gas analyzer test shall be evidence of enforceable compliance or noncompliance of the temporary replacement turbine with the emission limitations of the original turbine.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pPr>
      <w:r>
        <w:rPr>
          <w:rFonts w:cs="Arial" w:ascii="Arial" w:hAnsi="Arial"/>
          <w:sz w:val="24"/>
        </w:rPr>
        <w:t>An exceedance of either the NO</w:t>
      </w:r>
      <w:r>
        <w:rPr>
          <w:rFonts w:cs="Arial" w:ascii="Arial" w:hAnsi="Arial"/>
          <w:sz w:val="24"/>
          <w:vertAlign w:val="subscript"/>
        </w:rPr>
        <w:t>x</w:t>
      </w:r>
      <w:r>
        <w:rPr>
          <w:rFonts w:cs="Arial" w:ascii="Arial" w:hAnsi="Arial"/>
          <w:sz w:val="24"/>
        </w:rPr>
        <w:t xml:space="preserve"> or CO emission limitation during the initial portable flue gas analyzer test shall require a subsequent portable flue gas analyzer test indicating compliance with both the NO</w:t>
      </w:r>
      <w:r>
        <w:rPr>
          <w:rFonts w:cs="Arial" w:ascii="Arial" w:hAnsi="Arial"/>
          <w:sz w:val="24"/>
          <w:vertAlign w:val="subscript"/>
        </w:rPr>
        <w:t>x</w:t>
      </w:r>
      <w:r>
        <w:rPr>
          <w:rFonts w:cs="Arial" w:ascii="Arial" w:hAnsi="Arial"/>
          <w:sz w:val="24"/>
        </w:rPr>
        <w:t xml:space="preserve"> and CO emission limitations within 14 calendar days of commencing operation of the replacement turbine.  Calibration gases shall be used to calibrate the portable analyzer for all tests conducted subsequent to the initial test.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pPr>
      <w:r>
        <w:rPr>
          <w:rFonts w:cs="Arial" w:ascii="Arial" w:hAnsi="Arial"/>
          <w:sz w:val="24"/>
        </w:rPr>
        <w:t>If portable flue gas analyzer results indicate compliance with both the NO</w:t>
      </w:r>
      <w:r>
        <w:rPr>
          <w:rFonts w:cs="Arial" w:ascii="Arial" w:hAnsi="Arial"/>
          <w:sz w:val="24"/>
          <w:vertAlign w:val="subscript"/>
        </w:rPr>
        <w:t>x</w:t>
      </w:r>
      <w:r>
        <w:rPr>
          <w:rFonts w:cs="Arial" w:ascii="Arial" w:hAnsi="Arial"/>
          <w:sz w:val="24"/>
        </w:rPr>
        <w:t xml:space="preserve"> and CO emission limitations within the 14 day period, the temporary replacement turbine will be considered to be in compliance for purposes of this AOS from the time that the replacement turbine commenced operation until the replacement turbine is taken off line.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pPr>
      <w:r>
        <w:rPr>
          <w:rFonts w:cs="Arial" w:ascii="Arial" w:hAnsi="Arial"/>
          <w:sz w:val="24"/>
        </w:rPr>
        <w:t>If portable flue gas analyzer results fail to indicate the compliance with either the NO</w:t>
      </w:r>
      <w:r>
        <w:rPr>
          <w:rFonts w:cs="Arial" w:ascii="Arial" w:hAnsi="Arial"/>
          <w:sz w:val="24"/>
          <w:vertAlign w:val="subscript"/>
        </w:rPr>
        <w:t>x</w:t>
      </w:r>
      <w:r>
        <w:rPr>
          <w:rFonts w:cs="Arial" w:ascii="Arial" w:hAnsi="Arial"/>
          <w:sz w:val="24"/>
        </w:rPr>
        <w:t xml:space="preserve"> or CO emission limitations within the 14 day period, the source will notify the Division in writing within 10 calendar days of the end of the 14 day period.  In the absence of evidence to the contrary, the  temporary replacement turbine will be considered to be out of compliance from the time that the temporary replacement turbine commenced operation until the turbine is taken off line.  Results of all testing that indicates noncompliance shall be submitted to the Division within 10 calendar days of the end of the 14 day period.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rFonts w:ascii="Arial" w:hAnsi="Arial" w:cs="Arial"/>
          <w:sz w:val="24"/>
        </w:rPr>
      </w:pPr>
      <w:r>
        <w:rPr>
          <w:rFonts w:cs="Arial" w:ascii="Arial" w:hAnsi="Arial"/>
          <w:sz w:val="24"/>
        </w:rPr>
        <w:t>4.1.2</w:t>
        <w:tab/>
      </w:r>
      <w:r>
        <w:rPr>
          <w:rFonts w:cs="Arial" w:ascii="Arial" w:hAnsi="Arial"/>
          <w:b/>
          <w:bCs/>
          <w:szCs w:val="20"/>
        </w:rPr>
        <w:t>(this paragraph should only be used for operating permits)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rFonts w:ascii="Arial" w:hAnsi="Arial" w:cs="Arial"/>
          <w:sz w:val="24"/>
        </w:rPr>
      </w:pPr>
      <w:r>
        <w:rPr>
          <w:rFonts w:cs="Arial" w:ascii="Arial" w:hAnsi="Arial"/>
          <w:sz w:val="24"/>
        </w:rPr>
        <w:t>The permittee may temporarily replace a grandfathered or permit exempt turbine or an turbine that is not subject to emission limits without modifying this permit.  Potential emissions from the temporary replacement turbine must be less than or equal to the potential emissions from the original grandfathered or permit exempt turbine or for the turbine that is not subject to emission limits, as determined by applying appropriate emission factors.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pPr>
      <w:r>
        <w:rPr>
          <w:rFonts w:cs="Arial" w:ascii="Arial" w:hAnsi="Arial"/>
          <w:sz w:val="24"/>
        </w:rPr>
        <w:t>4.1.3</w:t>
        <w:tab/>
        <w:t>Temporary replacement turbines, whether of the same manufacturer, model, and horsepower, or of a different manufacturer, model, or horsepower, are subject to all federally applicable and state-only requirements set forth in this permit (including monitoring and record keeping),</w:t>
      </w:r>
      <w:r>
        <w:rPr>
          <w:rFonts w:cs="Arial" w:ascii="Arial" w:hAnsi="Arial"/>
          <w:b/>
          <w:bCs/>
          <w:sz w:val="24"/>
        </w:rPr>
        <w:t xml:space="preserve"> and shall be subject to any shield afforded by this permit</w:t>
      </w:r>
      <w:r>
        <w:rPr>
          <w:rFonts w:cs="Arial" w:ascii="Arial" w:hAnsi="Arial"/>
          <w:sz w:val="24"/>
        </w:rPr>
        <w:t xml:space="preserve"> (</w:t>
      </w:r>
      <w:r>
        <w:rPr>
          <w:rFonts w:cs="Arial" w:ascii="Arial" w:hAnsi="Arial"/>
          <w:i/>
          <w:iCs/>
          <w:sz w:val="28"/>
          <w:szCs w:val="28"/>
        </w:rPr>
        <w:t>use bolded for OP</w:t>
      </w:r>
      <w:r>
        <w:rPr>
          <w:rFonts w:cs="WP TypographicSymbols" w:ascii="WP TypographicSymbols" w:hAnsi="WP TypographicSymbols"/>
          <w:i/>
          <w:iCs/>
          <w:sz w:val="28"/>
          <w:szCs w:val="28"/>
        </w:rPr>
        <w:t>=</w:t>
      </w:r>
      <w:r>
        <w:rPr>
          <w:rFonts w:cs="Arial" w:ascii="Arial" w:hAnsi="Arial"/>
          <w:i/>
          <w:iCs/>
          <w:sz w:val="28"/>
          <w:szCs w:val="28"/>
        </w:rPr>
        <w:t>s only</w:t>
      </w:r>
      <w:r>
        <w:rPr>
          <w:rFonts w:cs="Arial" w:ascii="Arial" w:hAnsi="Arial"/>
          <w:sz w:val="24"/>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rFonts w:ascii="Arial" w:hAnsi="Arial" w:cs="Arial"/>
          <w:sz w:val="24"/>
        </w:rPr>
      </w:pPr>
      <w:r>
        <w:rPr>
          <w:rFonts w:cs="Arial" w:ascii="Arial" w:hAnsi="Arial"/>
          <w:sz w:val="24"/>
        </w:rPr>
        <w:t xml:space="preserve">4.1.4 </w:t>
        <w:tab/>
        <w:t>The permittee shall maintain a log on-site to contemporaneously record the start and stop date of any temporary turbine replacement, the manufacturer, model number, horsepower, and serial number of the turbine(s) that are temporarily replaced during the term of this permit, and the manufacturer, model number, horsepower, and serial number of the replacement turbine.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Arial" w:ascii="Arial" w:hAnsi="Arial"/>
          <w:sz w:val="24"/>
        </w:rPr>
        <w:t xml:space="preserve">4.2 </w:t>
        <w:tab/>
      </w:r>
      <w:r>
        <w:rPr>
          <w:rFonts w:cs="Arial" w:ascii="Arial" w:hAnsi="Arial"/>
          <w:b/>
          <w:bCs/>
          <w:sz w:val="24"/>
        </w:rPr>
        <w:t>Permanent Turbine Replacement</w:t>
      </w:r>
      <w:r>
        <w:rPr>
          <w:rFonts w:cs="Arial" w:ascii="Arial" w:hAnsi="Arial"/>
          <w:sz w:val="24"/>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rFonts w:cs="Arial" w:ascii="Arial" w:hAnsi="Arial"/>
          <w:sz w:val="24"/>
        </w:rPr>
        <w:t>The following AOS is incorporated into a permittee</w:t>
      </w:r>
      <w:r>
        <w:rPr>
          <w:rFonts w:cs="WP TypographicSymbols" w:ascii="WP TypographicSymbols" w:hAnsi="WP TypographicSymbols"/>
          <w:sz w:val="24"/>
        </w:rPr>
        <w:t>=</w:t>
      </w:r>
      <w:r>
        <w:rPr>
          <w:rFonts w:cs="Arial" w:ascii="Arial" w:hAnsi="Arial"/>
          <w:sz w:val="24"/>
        </w:rPr>
        <w:t>s operating or construction permit in order to deal with a combustion turbine breakdown or periodic routine maintenance and repair which requires the use of a permanent replacement turbine (defined as in the same service for more than 90 days in any 12 month period).  The compliance demonstrations made as part of this AOS are in addition to any compliance demonstrations required by the permit.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pPr>
      <w:r>
        <w:rPr>
          <w:rFonts w:cs="Arial" w:ascii="Arial" w:hAnsi="Arial"/>
          <w:sz w:val="24"/>
        </w:rPr>
        <w:t>4.2.1</w:t>
        <w:tab/>
        <w:t>The permittee may permanently replace the existing combustion turbine provided such replacement turbines are</w:t>
      </w:r>
      <w:r>
        <w:rPr>
          <w:rFonts w:cs="Arial" w:ascii="Arial" w:hAnsi="Arial"/>
          <w:b/>
          <w:bCs/>
          <w:sz w:val="24"/>
        </w:rPr>
        <w:t xml:space="preserve"> [e.g. GE LM6000]</w:t>
      </w:r>
      <w:r>
        <w:rPr>
          <w:rFonts w:cs="Arial" w:ascii="Arial" w:hAnsi="Arial"/>
          <w:sz w:val="24"/>
        </w:rPr>
        <w:t xml:space="preserve"> without modifying this permit.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rFonts w:eastAsia="Arial" w:cs="Arial" w:ascii="Arial" w:hAnsi="Arial"/>
          <w:sz w:val="24"/>
        </w:rPr>
        <w:t xml:space="preserve">  </w:t>
      </w:r>
      <w:r>
        <w:rPr>
          <w:rFonts w:cs="Arial" w:ascii="Arial" w:hAnsi="Arial"/>
          <w:sz w:val="24"/>
        </w:rPr>
        <w:tab/>
        <w:tab/>
        <w:t>The permittee shall measure nitrogen oxide (NO</w:t>
      </w:r>
      <w:r>
        <w:rPr>
          <w:rFonts w:cs="Arial" w:ascii="Arial" w:hAnsi="Arial"/>
          <w:sz w:val="24"/>
          <w:vertAlign w:val="subscript"/>
        </w:rPr>
        <w:t>x</w:t>
      </w:r>
      <w:r>
        <w:rPr>
          <w:rFonts w:cs="Arial" w:ascii="Arial" w:hAnsi="Arial"/>
          <w:sz w:val="24"/>
        </w:rPr>
        <w:t>) and carbon monoxide (CO) emissions in the exhaust from the permanent replacement turbine using a portable flue gas analyzer within seven (7) calendar days of commencing operation of the temporary replacement turbine.  Calibration of the analyzer shall be conducted according to manufacturer</w:t>
      </w:r>
      <w:r>
        <w:rPr>
          <w:rFonts w:cs="WP TypographicSymbols" w:ascii="WP TypographicSymbols" w:hAnsi="WP TypographicSymbols"/>
          <w:sz w:val="24"/>
        </w:rPr>
        <w:t>=</w:t>
      </w:r>
      <w:r>
        <w:rPr>
          <w:rFonts w:cs="Arial" w:ascii="Arial" w:hAnsi="Arial"/>
          <w:sz w:val="24"/>
        </w:rPr>
        <w:t xml:space="preserve">s instructions.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rFonts w:ascii="Arial" w:hAnsi="Arial" w:cs="Arial"/>
          <w:sz w:val="24"/>
        </w:rPr>
      </w:pPr>
      <w:r>
        <w:rPr>
          <w:rFonts w:cs="Arial" w:ascii="Arial" w:hAnsi="Arial"/>
          <w:sz w:val="24"/>
        </w:rPr>
        <w:t xml:space="preserve">In the absence of evidence to the contrary, results of the portable flue gas analyzer test shall be evidence of enforceable compliance or noncompliance of the permanent replacement turbine with the emission limitations of the original turbine.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pPr>
      <w:r>
        <w:rPr>
          <w:rFonts w:cs="Arial" w:ascii="Arial" w:hAnsi="Arial"/>
          <w:sz w:val="24"/>
        </w:rPr>
        <w:t>An exceedance of either the NO</w:t>
      </w:r>
      <w:r>
        <w:rPr>
          <w:rFonts w:cs="Arial" w:ascii="Arial" w:hAnsi="Arial"/>
          <w:sz w:val="24"/>
          <w:vertAlign w:val="subscript"/>
        </w:rPr>
        <w:t>x</w:t>
      </w:r>
      <w:r>
        <w:rPr>
          <w:rFonts w:cs="Arial" w:ascii="Arial" w:hAnsi="Arial"/>
          <w:sz w:val="24"/>
        </w:rPr>
        <w:t xml:space="preserve"> or CO emission limitation during the initial portable flue gas analyzer test shall require a subsequent portable analyzer test indicating compliance with both the NO</w:t>
      </w:r>
      <w:r>
        <w:rPr>
          <w:rFonts w:cs="Arial" w:ascii="Arial" w:hAnsi="Arial"/>
          <w:sz w:val="24"/>
          <w:vertAlign w:val="subscript"/>
        </w:rPr>
        <w:t>x</w:t>
      </w:r>
      <w:r>
        <w:rPr>
          <w:rFonts w:cs="Arial" w:ascii="Arial" w:hAnsi="Arial"/>
          <w:sz w:val="24"/>
        </w:rPr>
        <w:t xml:space="preserve"> and CO emission limitations within 14 calendar days of commencing operation of the replacement turbine.  Calibration gases shall be used to calibrate the portable analyzer for all tests conducted subsequent to the initial test.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pPr>
      <w:r>
        <w:rPr>
          <w:rFonts w:cs="Arial" w:ascii="Arial" w:hAnsi="Arial"/>
          <w:sz w:val="24"/>
        </w:rPr>
        <w:t>If portable flue gas analyzer results indicate compliance with both the NO</w:t>
      </w:r>
      <w:r>
        <w:rPr>
          <w:rFonts w:cs="Arial" w:ascii="Arial" w:hAnsi="Arial"/>
          <w:sz w:val="24"/>
          <w:vertAlign w:val="subscript"/>
        </w:rPr>
        <w:t>x</w:t>
      </w:r>
      <w:r>
        <w:rPr>
          <w:rFonts w:cs="Arial" w:ascii="Arial" w:hAnsi="Arial"/>
          <w:sz w:val="24"/>
        </w:rPr>
        <w:t xml:space="preserve"> and CO emission limitations within the 14 day period, the permanent replacement turbine will be considered to be in compliance for the purposes of this AOS.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pPr>
      <w:r>
        <w:rPr>
          <w:rFonts w:cs="Arial" w:ascii="Arial" w:hAnsi="Arial"/>
          <w:sz w:val="24"/>
        </w:rPr>
        <w:t>If portable flue gas analyzer results fail to indicate the compliance of the permanent replacement turbine with either the NO</w:t>
      </w:r>
      <w:r>
        <w:rPr>
          <w:rFonts w:cs="Arial" w:ascii="Arial" w:hAnsi="Arial"/>
          <w:sz w:val="24"/>
          <w:vertAlign w:val="subscript"/>
        </w:rPr>
        <w:t>x</w:t>
      </w:r>
      <w:r>
        <w:rPr>
          <w:rFonts w:cs="Arial" w:ascii="Arial" w:hAnsi="Arial"/>
          <w:sz w:val="24"/>
        </w:rPr>
        <w:t xml:space="preserve"> or CO emission limitations within the 14 day period, the source will notify the Division in writing within 10 calendar days of the end of the 14 day period.</w:t>
      </w:r>
      <w:r>
        <w:rPr>
          <w:rFonts w:cs="Arial" w:ascii="Arial" w:hAnsi="Arial"/>
          <w:i/>
          <w:iCs/>
          <w:sz w:val="24"/>
        </w:rPr>
        <w:t xml:space="preserve">  </w:t>
      </w:r>
      <w:r>
        <w:rPr>
          <w:rFonts w:cs="Arial" w:ascii="Arial" w:hAnsi="Arial"/>
          <w:sz w:val="24"/>
        </w:rPr>
        <w:t xml:space="preserve">Results of all testing that indicates noncompliance shall be submitted to the Division within 10 calendar days of the end of the 14 day period.  The source will be required to conduct EPA Reference Test Methods (identified as Reference Method 7E and Reference Method 10, or Reference Method 19 (40C.F.R. Part 60 Appendix A), hereinafter </w:t>
      </w:r>
      <w:r>
        <w:rPr>
          <w:rFonts w:cs="WP TypographicSymbols" w:ascii="WP TypographicSymbols" w:hAnsi="WP TypographicSymbols"/>
          <w:sz w:val="24"/>
        </w:rPr>
        <w:t>A</w:t>
      </w:r>
      <w:r>
        <w:rPr>
          <w:rFonts w:cs="Arial" w:ascii="Arial" w:hAnsi="Arial"/>
          <w:sz w:val="24"/>
        </w:rPr>
        <w:t>EPA Reference Test Methods</w:t>
      </w:r>
      <w:r>
        <w:rPr>
          <w:rFonts w:cs="WP TypographicSymbols" w:ascii="WP TypographicSymbols" w:hAnsi="WP TypographicSymbols"/>
          <w:sz w:val="24"/>
        </w:rPr>
        <w:t>@</w:t>
      </w:r>
      <w:r>
        <w:rPr>
          <w:rFonts w:cs="Arial" w:ascii="Arial" w:hAnsi="Arial"/>
          <w:sz w:val="24"/>
        </w:rPr>
        <w:t xml:space="preserve">) or other test methods or procedures acceptable to the Division within 45 calendar days of the end of the 14 day period allowed for the  portable flue gas analyzer testing.  The Division shall be notified at least 30 calendar days prior to the EPA Reference Test date, so that it may choose whether to observe the testing.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pPr>
      <w:r>
        <w:rPr>
          <w:rFonts w:cs="Arial" w:ascii="Arial" w:hAnsi="Arial"/>
          <w:sz w:val="24"/>
        </w:rPr>
        <w:t>If the EPA Reference Tests indicate compliance with both the NO</w:t>
      </w:r>
      <w:r>
        <w:rPr>
          <w:rFonts w:cs="Arial" w:ascii="Arial" w:hAnsi="Arial"/>
          <w:sz w:val="24"/>
          <w:vertAlign w:val="subscript"/>
        </w:rPr>
        <w:t>x</w:t>
      </w:r>
      <w:r>
        <w:rPr>
          <w:rFonts w:cs="Arial" w:ascii="Arial" w:hAnsi="Arial"/>
          <w:sz w:val="24"/>
        </w:rPr>
        <w:t xml:space="preserve"> and CO emission limitations, the permanent replacement turbine will be considered to be in compliance for the purposes of this AOS.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pPr>
      <w:r>
        <w:rPr>
          <w:rFonts w:cs="Arial" w:ascii="Arial" w:hAnsi="Arial"/>
          <w:sz w:val="24"/>
        </w:rPr>
        <w:t>If the EPA Reference Tests fail to demonstrate compliance with either the NO</w:t>
      </w:r>
      <w:r>
        <w:rPr>
          <w:rFonts w:cs="Arial" w:ascii="Arial" w:hAnsi="Arial"/>
          <w:sz w:val="24"/>
          <w:vertAlign w:val="subscript"/>
        </w:rPr>
        <w:t>x</w:t>
      </w:r>
      <w:r>
        <w:rPr>
          <w:rFonts w:cs="Arial" w:ascii="Arial" w:hAnsi="Arial"/>
          <w:sz w:val="24"/>
        </w:rPr>
        <w:t xml:space="preserve"> or CO emission limitations and in the absence of evidence to the contrary, the permanent replacement turbine will be considered to be out of compliance for the purposes of this AOS from the date the replacement turbine commenced operation until the turbine is taken off line.  Results of all testing that indicates noncompliance shall be submitted to the Division within 14 calendar days after receipt of the test results.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rFonts w:ascii="Arial" w:hAnsi="Arial" w:cs="Arial"/>
          <w:sz w:val="24"/>
        </w:rPr>
      </w:pPr>
      <w:r>
        <w:rPr>
          <w:rFonts w:cs="Arial" w:ascii="Arial" w:hAnsi="Arial"/>
          <w:sz w:val="24"/>
        </w:rPr>
        <w:t xml:space="preserve">4.2.2 </w:t>
        <w:tab/>
        <w:t>Permanent replacement turbines are subject to all federally applicable and state-only requirements set forth in this permit (including monitoring and record keeping),  and shall be subject to any shield afforded by this permit.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rFonts w:ascii="Arial" w:hAnsi="Arial" w:cs="Arial"/>
          <w:sz w:val="24"/>
        </w:rPr>
      </w:pPr>
      <w:r>
        <w:rPr>
          <w:rFonts w:cs="Arial" w:ascii="Arial" w:hAnsi="Arial"/>
          <w:sz w:val="24"/>
        </w:rPr>
        <w:t xml:space="preserve">4.2.3 </w:t>
        <w:tab/>
        <w:t xml:space="preserve">The permittee shall maintain a log on-site to contemporaneously record the date of any permanent turbine replacement, the manufacturer, model number, horsepower, and serial number of the turbine(s) that are permanently replaced during the term of this permit,  and the manufacturer, model number, horsepower, and serial number of the replacement turbine.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rFonts w:ascii="Arial" w:hAnsi="Arial" w:cs="Arial"/>
          <w:sz w:val="24"/>
        </w:rPr>
      </w:pPr>
      <w:r>
        <w:rPr>
          <w:rFonts w:cs="Arial" w:ascii="Arial" w:hAnsi="Arial"/>
          <w:sz w:val="24"/>
        </w:rPr>
        <w:t xml:space="preserve">4.2.4 </w:t>
        <w:tab/>
        <w:t>An Air Pollutant Emissions Notice (APEN) that includes the specific manufacturer, model and serial number and horsepower of the permanent replacement turbine shall be filed with the Division for the permanent replacement turbine within 14 calendar days of commencing operation of the replacement turbine.  The APEN shall be accompanied by the appropriate APEN filing fee and a cover letter explaining that the permittee is exercising an alternative operating scenario and is installing a permanent replacement turbine.</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rFonts w:ascii="Arial" w:hAnsi="Arial" w:cs="Arial"/>
          <w:sz w:val="24"/>
        </w:rPr>
      </w:pPr>
      <w:r>
        <w:rPr>
          <w:rFonts w:cs="Arial" w:ascii="Arial" w:hAnsi="Arial"/>
          <w:sz w:val="24"/>
        </w:rPr>
        <w:t xml:space="preserve">4.2.5 </w:t>
        <w:tab/>
        <w:t>This procedure cannot be used for permanent turbine replacement in the following situations: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rFonts w:ascii="Arial" w:hAnsi="Arial" w:cs="Arial"/>
          <w:sz w:val="24"/>
        </w:rPr>
      </w:pPr>
      <w:r>
        <w:rPr>
          <w:rFonts w:cs="Arial" w:ascii="Arial" w:hAnsi="Arial"/>
          <w:sz w:val="24"/>
        </w:rPr>
        <w:t xml:space="preserve">a.  Replacement of a grandfathered or permit exempt turbine or an turbine that is not subject to emission limits.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rFonts w:ascii="Arial" w:hAnsi="Arial" w:cs="Arial"/>
          <w:sz w:val="24"/>
        </w:rPr>
      </w:pPr>
      <w:r>
        <w:rPr>
          <w:rFonts w:cs="Arial" w:ascii="Arial" w:hAnsi="Arial"/>
          <w:sz w:val="24"/>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pPr>
      <w:r>
        <w:rPr>
          <w:rFonts w:cs="Arial" w:ascii="Arial" w:hAnsi="Arial"/>
          <w:sz w:val="24"/>
        </w:rPr>
        <w:t xml:space="preserve">4.2.6 </w:t>
        <w:tab/>
        <w:t xml:space="preserve">For the purposes of this AOS, the word </w:t>
      </w:r>
      <w:r>
        <w:rPr>
          <w:rFonts w:cs="WP TypographicSymbols" w:ascii="WP TypographicSymbols" w:hAnsi="WP TypographicSymbols"/>
          <w:sz w:val="24"/>
        </w:rPr>
        <w:t>A</w:t>
      </w:r>
      <w:r>
        <w:rPr>
          <w:rFonts w:cs="Arial" w:ascii="Arial" w:hAnsi="Arial"/>
          <w:sz w:val="24"/>
        </w:rPr>
        <w:t>turbine</w:t>
      </w:r>
      <w:r>
        <w:rPr>
          <w:rFonts w:cs="WP TypographicSymbols" w:ascii="WP TypographicSymbols" w:hAnsi="WP TypographicSymbols"/>
          <w:sz w:val="24"/>
        </w:rPr>
        <w:t>@</w:t>
      </w:r>
      <w:r>
        <w:rPr>
          <w:rFonts w:cs="Arial" w:ascii="Arial" w:hAnsi="Arial"/>
          <w:sz w:val="24"/>
        </w:rPr>
        <w:t xml:space="preserve"> shall refer to the </w:t>
      </w:r>
      <w:r>
        <w:rPr>
          <w:rFonts w:cs="WP TypographicSymbols" w:ascii="WP TypographicSymbols" w:hAnsi="WP TypographicSymbols"/>
          <w:sz w:val="24"/>
        </w:rPr>
        <w:t>A</w:t>
      </w:r>
      <w:r>
        <w:rPr>
          <w:rFonts w:cs="Arial" w:ascii="Arial" w:hAnsi="Arial"/>
          <w:sz w:val="24"/>
        </w:rPr>
        <w:t>gas generator</w:t>
      </w:r>
      <w:r>
        <w:rPr>
          <w:rFonts w:cs="WP TypographicSymbols" w:ascii="WP TypographicSymbols" w:hAnsi="WP TypographicSymbols"/>
          <w:sz w:val="24"/>
        </w:rPr>
        <w:t>@</w:t>
      </w:r>
      <w:r>
        <w:rPr>
          <w:rFonts w:cs="Arial" w:ascii="Arial" w:hAnsi="Arial"/>
          <w:sz w:val="24"/>
        </w:rPr>
        <w:t xml:space="preserve"> section of the turbine, the combustion chamber, or any other part or section of the turbine that the Division determines may result in an increase in emissions from the turbine.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rFonts w:ascii="Arial" w:hAnsi="Arial" w:cs="Arial"/>
          <w:sz w:val="24"/>
        </w:rPr>
      </w:pPr>
      <w:r>
        <w:rPr>
          <w:rFonts w:cs="Arial" w:ascii="Arial" w:hAnsi="Arial"/>
          <w:sz w:val="24"/>
        </w:rPr>
        <w:t xml:space="preserve">4.2.7 </w:t>
        <w:tab/>
        <w:t>The permittee shall agree to pay fees based on the normal permit processing rate for review of information submitted to the Division in regard to any permanent turbine replacement.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rFonts w:ascii="Arial" w:hAnsi="Arial" w:cs="Arial"/>
          <w:sz w:val="24"/>
        </w:rPr>
      </w:pPr>
      <w:r>
        <w:rPr>
          <w:rFonts w:cs="Arial" w:ascii="Arial" w:hAnsi="Arial"/>
          <w:sz w:val="24"/>
        </w:rPr>
        <w:t xml:space="preserve">4.2.8 </w:t>
        <w:tab/>
        <w:t>Results of all tests conducted pursuant to this AOS shall be kept on site for five (5) years and made available to the Division upon request.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rFonts w:ascii="Arial" w:hAnsi="Arial" w:cs="Arial"/>
          <w:sz w:val="24"/>
        </w:rPr>
      </w:pPr>
      <w:r>
        <w:rPr>
          <w:rFonts w:cs="Arial" w:ascii="Arial" w:hAnsi="Arial"/>
          <w:sz w:val="24"/>
        </w:rPr>
        <w:t>4.2.9</w:t>
        <w:tab/>
        <w:t xml:space="preserve">For comparison with an annual or short term emissions limit, the results of </w:t>
        <w:tab/>
        <w:tab/>
        <w:t xml:space="preserve">any testing required by this AOS shall be converted to a lb/hr basis and multiplied by the allowable operating hours in the month or year (whichever applies) in order to monitor compliance.  If a source is not limited in its hours of operation, the test results shall be multiplied by the maximum number of hours in the month or year (8760), whichever applies.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t xml:space="preserve">4.3 </w:t>
      </w:r>
      <w:r>
        <w:rPr>
          <w:rFonts w:cs="Arial" w:ascii="Arial" w:hAnsi="Arial"/>
          <w:b/>
          <w:bCs/>
          <w:sz w:val="24"/>
        </w:rPr>
        <w:tab/>
        <w:t>Additional Sources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rFonts w:ascii="Arial" w:hAnsi="Arial" w:cs="Arial"/>
          <w:sz w:val="24"/>
        </w:rPr>
      </w:pPr>
      <w:r>
        <w:rPr>
          <w:rFonts w:cs="Arial" w:ascii="Arial" w:hAnsi="Arial"/>
          <w:sz w:val="24"/>
        </w:rPr>
        <w:t>Current State Air Quality Regulations do not allow for advanced New Source Review in the absence of discrete and verifiable information concerning future installations.  Therefore, any additional operational changes requiring new equipment at this facility not addressed by these Alternative Operating Scenarios will need to undergo appropriate Regulation No. 3 review procedures.</w:t>
      </w:r>
    </w:p>
    <w:sectPr>
      <w:type w:val="continuous"/>
      <w:pgSz w:w="12240" w:h="15840"/>
      <w:pgMar w:left="1440" w:right="1440" w:gutter="0" w:header="0" w:top="1440"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Fonts w:cs="Arial" w:ascii="Arial" w:hAnsi="Arial"/>
        <w:b/>
        <w:bCs/>
        <w:szCs w:val="20"/>
      </w:rPr>
      <w:t>Ver 10/15/98</w:t>
    </w:r>
    <w:r>
      <w:rPr>
        <w:rFonts w:cs="Arial" w:ascii="Arial" w:hAnsi="Arial"/>
        <w:sz w:val="24"/>
      </w:rPr>
      <w:tab/>
      <w:tab/>
      <w:tab/>
      <w:t>Combustion Turbine AOS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2001-03-30T15:50:00Z</dcterms:created>
  <dc:creator>Enter Value Here</dc:creator>
  <dc:description/>
  <dc:language>en-CA</dc:language>
  <cp:lastModifiedBy>Enter Value Here</cp:lastModifiedBy>
  <dcterms:modified xsi:type="dcterms:W3CDTF">2001-03-30T15:50:00Z</dcterms:modified>
  <cp:revision>2</cp:revision>
  <dc:subject/>
  <dc:title>COLORADO DEPARTMENT OF PUBLIC HEALTH AND ENVIRONMENT</dc:title>
</cp:coreProperties>
</file>