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Tony Pryor</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Drew Fossum</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rPr>
              <w:t>ETS Law</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JOBGROUP"/>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Sr. Counsel II</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HIREDATE"/>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Tony takes ownership of the projects that he is assigned.  Northern’s EOL project and the various ISDA transactions are good examples of this.  Tony brings a new perspective to problems and is dogged in moving projects forward.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Tony has consistently and effectively communicated with supervisors and clients on all projects.  He has shown good judgment in setting direction and resolving difficult issues.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 2</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Great.  Tony is a joy to work with and consistently shows respect toward coworkers.  He shows good judgment in getting others involved in decisionmaking or analysis when appropriate.</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Tony’s leadership is growing with his expertise and familiarity with the subject matter of his practice.  He consistently adheres to Enron’s visions and values and has high integrity.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Good.  Tony’s understanding of our business is growing, and his instincts will continue to be refined as his expertise grows.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  3</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Good.  Tony has excellent skills and has shown great aptitude at developing new expertise.  His grasp of financial and commodity transactions has grown enormously.  Tony is still gaining familiarity with Northern’s tariff and regulatory environment.  Continued learning in this area is needed.</w:t>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  3</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rPr>
                <w:rFonts w:cs="Arial" w:ascii="Arial" w:hAnsi="Arial"/>
              </w:rPr>
              <w:t xml:space="preserve">Tony is a very solid and valued member of the team.  He has shown the will and the ability to add to his expertise as required to add value to projects.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rPr>
            </w:pPr>
            <w:r>
              <w:rPr>
                <w:rFonts w:cs="Arial" w:ascii="Arial" w:hAnsi="Arial"/>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Frequent direct contact with Tony and his substantive work product. </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Focus, will to learn new things, good judgment in recognizing limits of his own expertise and ability to bring in other experts or resources as appropriate.  Communication and teamwork.  </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See below</w:t>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1.  Continue to develop expertise in NN and TW tariff, regulatory structure, and contracting practices.  2.  Continue to develop expertise in financial and commodity transactions.    </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See above.</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2001-01-20T13:55:00Z</dcterms:created>
  <dc:creator>Performance Management</dc:creator>
  <dc:description/>
  <dc:language>en-CA</dc:language>
  <cp:lastModifiedBy>dfossum</cp:lastModifiedBy>
  <cp:lastPrinted>2000-10-31T11:18:00Z</cp:lastPrinted>
  <dcterms:modified xsi:type="dcterms:W3CDTF">2001-01-25T11:49:00Z</dcterms:modified>
  <cp:revision>5</cp:revision>
  <dc:subject/>
  <dc:title> </dc:title>
</cp:coreProperties>
</file>