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Darren Cross, Leela Domingo, Kate Joslyn, Derek Flaman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Lori Poffenroth</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Power Operations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Power Prudential Requirements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Body"/>
        <w:rPr/>
      </w:pPr>
      <w:r>
        <w:rPr/>
      </w:r>
    </w:p>
    <w:p>
      <w:pPr>
        <w:pStyle w:val="Body"/>
        <w:rPr/>
      </w:pPr>
      <w:r>
        <w:rPr/>
        <w:t>As of December 31, the Letters of Credit due to each Wire Service Provider and the Power Pool of Alberta come due. To meet prudential requirements with these groups,  Enron Direct has the following options:</w:t>
      </w:r>
    </w:p>
    <w:p>
      <w:pPr>
        <w:pStyle w:val="Body"/>
        <w:rPr/>
      </w:pPr>
      <w:r>
        <w:rPr/>
      </w:r>
    </w:p>
    <w:p>
      <w:pPr>
        <w:pStyle w:val="Body"/>
        <w:numPr>
          <w:ilvl w:val="0"/>
          <w:numId w:val="2"/>
        </w:numPr>
        <w:rPr/>
      </w:pPr>
      <w:r>
        <w:rPr/>
        <w:t>Obtain a parental guarantee – This option is unlikely given current circumstances</w:t>
      </w:r>
    </w:p>
    <w:p>
      <w:pPr>
        <w:pStyle w:val="Body"/>
        <w:numPr>
          <w:ilvl w:val="0"/>
          <w:numId w:val="2"/>
        </w:numPr>
        <w:rPr/>
      </w:pPr>
      <w:r>
        <w:rPr/>
        <w:t>Obtain an LC – Houston Credit has indicated that this option is not available at this time</w:t>
      </w:r>
    </w:p>
    <w:p>
      <w:pPr>
        <w:pStyle w:val="Body"/>
        <w:numPr>
          <w:ilvl w:val="0"/>
          <w:numId w:val="2"/>
        </w:numPr>
        <w:rPr/>
      </w:pPr>
      <w:r>
        <w:rPr/>
        <w:t>Provide cash security – This option is the most likely. ED will requires funds from Houston as current bank accounts are insufficient to cover forecast requirements.</w:t>
      </w:r>
    </w:p>
    <w:p>
      <w:pPr>
        <w:pStyle w:val="Body"/>
        <w:rPr/>
      </w:pPr>
      <w:r>
        <w:rPr/>
      </w:r>
    </w:p>
    <w:p>
      <w:pPr>
        <w:pStyle w:val="Body"/>
        <w:rPr/>
      </w:pPr>
      <w:r>
        <w:rPr/>
        <w:t>New prudential requirements (75 days worth of charges) have been determined for customers enrolled with Enron Direct as of Oct. 31, 2001. Given the anticipated growth of the business in the remaining months ot 2001, these numbers will need to be revised. Estimated prudential requirements have been calculated as of Dec 31, 2001 based on forecast customer base at that time.</w:t>
      </w:r>
    </w:p>
    <w:p>
      <w:pPr>
        <w:pStyle w:val="Body"/>
        <w:rPr/>
      </w:pPr>
      <w:r>
        <w:rPr/>
      </w:r>
    </w:p>
    <w:p>
      <w:pPr>
        <w:pStyle w:val="Body"/>
        <w:rPr/>
      </w:pPr>
      <w:r>
        <w:rPr/>
      </w:r>
    </w:p>
    <w:p>
      <w:pPr>
        <w:pStyle w:val="Body"/>
        <w:rPr/>
      </w:pPr>
      <w:r>
        <w:rPr/>
      </w:r>
    </w:p>
    <w:tbl>
      <w:tblPr>
        <w:tblW w:w="8155" w:type="dxa"/>
        <w:jc w:val="start"/>
        <w:tblInd w:w="0" w:type="dxa"/>
        <w:tblLayout w:type="fixed"/>
        <w:tblCellMar>
          <w:top w:w="15" w:type="dxa"/>
          <w:start w:w="15" w:type="dxa"/>
          <w:bottom w:w="0" w:type="dxa"/>
          <w:end w:w="15" w:type="dxa"/>
        </w:tblCellMar>
      </w:tblPr>
      <w:tblGrid>
        <w:gridCol w:w="2276"/>
        <w:gridCol w:w="1145"/>
        <w:gridCol w:w="1207"/>
        <w:gridCol w:w="1324"/>
        <w:gridCol w:w="1207"/>
        <w:gridCol w:w="996"/>
      </w:tblGrid>
      <w:tr>
        <w:trPr>
          <w:trHeight w:val="255" w:hRule="atLeast"/>
        </w:trPr>
        <w:tc>
          <w:tcPr>
            <w:tcW w:w="8155" w:type="dxa"/>
            <w:gridSpan w:val="6"/>
            <w:tcBorders/>
            <w:shd w:fill="000000" w:val="clear"/>
            <w:vAlign w:val="bottom"/>
          </w:tcPr>
          <w:p>
            <w:pPr>
              <w:pStyle w:val="Normal"/>
              <w:jc w:val="center"/>
              <w:rPr>
                <w:rFonts w:eastAsia="Arial Unicode MS" w:cs="Arial"/>
                <w:b/>
                <w:bCs/>
                <w:color w:val="FFFFFF"/>
                <w:sz w:val="20"/>
              </w:rPr>
            </w:pPr>
            <w:r>
              <w:rPr>
                <w:rFonts w:cs="Arial"/>
                <w:b/>
                <w:bCs/>
                <w:color w:val="FFFFFF"/>
                <w:sz w:val="20"/>
              </w:rPr>
              <w:t>Prudential</w:t>
            </w:r>
          </w:p>
        </w:tc>
      </w:tr>
      <w:tr>
        <w:trPr>
          <w:trHeight w:val="255" w:hRule="atLeast"/>
        </w:trPr>
        <w:tc>
          <w:tcPr>
            <w:tcW w:w="2276" w:type="dxa"/>
            <w:tcBorders/>
            <w:shd w:fill="FFFFFF" w:val="clear"/>
            <w:vAlign w:val="bottom"/>
          </w:tcPr>
          <w:p>
            <w:pPr>
              <w:pStyle w:val="Normal"/>
              <w:rPr>
                <w:rFonts w:eastAsia="Arial Unicode MS" w:cs="Arial"/>
                <w:sz w:val="20"/>
              </w:rPr>
            </w:pPr>
            <w:r>
              <w:rPr>
                <w:rFonts w:cs="Arial"/>
                <w:sz w:val="20"/>
              </w:rPr>
              <w:t> </w:t>
            </w:r>
          </w:p>
        </w:tc>
        <w:tc>
          <w:tcPr>
            <w:tcW w:w="1145" w:type="dxa"/>
            <w:tcBorders/>
            <w:shd w:fill="FFFFFF" w:val="clear"/>
            <w:vAlign w:val="bottom"/>
          </w:tcPr>
          <w:p>
            <w:pPr>
              <w:pStyle w:val="Normal"/>
              <w:rPr>
                <w:rFonts w:eastAsia="Arial Unicode MS" w:cs="Arial"/>
                <w:sz w:val="20"/>
              </w:rPr>
            </w:pPr>
            <w:r>
              <w:rPr>
                <w:rFonts w:cs="Arial"/>
                <w:sz w:val="20"/>
              </w:rPr>
              <w:t> </w:t>
            </w:r>
          </w:p>
        </w:tc>
        <w:tc>
          <w:tcPr>
            <w:tcW w:w="1207" w:type="dxa"/>
            <w:tcBorders/>
            <w:shd w:fill="FFFFFF" w:val="clear"/>
            <w:vAlign w:val="bottom"/>
          </w:tcPr>
          <w:p>
            <w:pPr>
              <w:pStyle w:val="Normal"/>
              <w:rPr>
                <w:rFonts w:eastAsia="Arial Unicode MS" w:cs="Arial"/>
                <w:sz w:val="20"/>
              </w:rPr>
            </w:pPr>
            <w:r>
              <w:rPr>
                <w:rFonts w:cs="Arial"/>
                <w:sz w:val="20"/>
              </w:rPr>
              <w:t> </w:t>
            </w:r>
          </w:p>
        </w:tc>
        <w:tc>
          <w:tcPr>
            <w:tcW w:w="1324" w:type="dxa"/>
            <w:tcBorders/>
            <w:shd w:fill="FFFFFF" w:val="clear"/>
            <w:vAlign w:val="bottom"/>
          </w:tcPr>
          <w:p>
            <w:pPr>
              <w:pStyle w:val="Normal"/>
              <w:rPr>
                <w:rFonts w:eastAsia="Arial Unicode MS" w:cs="Arial"/>
                <w:sz w:val="20"/>
              </w:rPr>
            </w:pPr>
            <w:r>
              <w:rPr>
                <w:rFonts w:cs="Arial"/>
                <w:sz w:val="20"/>
              </w:rPr>
              <w:t> </w:t>
            </w:r>
          </w:p>
        </w:tc>
        <w:tc>
          <w:tcPr>
            <w:tcW w:w="1207" w:type="dxa"/>
            <w:tcBorders/>
            <w:shd w:fill="FFFFFF" w:val="clear"/>
            <w:vAlign w:val="bottom"/>
          </w:tcPr>
          <w:p>
            <w:pPr>
              <w:pStyle w:val="Normal"/>
              <w:rPr>
                <w:rFonts w:eastAsia="Arial Unicode MS" w:cs="Arial"/>
                <w:sz w:val="20"/>
              </w:rPr>
            </w:pPr>
            <w:r>
              <w:rPr>
                <w:rFonts w:cs="Arial"/>
                <w:sz w:val="20"/>
              </w:rPr>
              <w:t> </w:t>
            </w:r>
          </w:p>
        </w:tc>
        <w:tc>
          <w:tcPr>
            <w:tcW w:w="996" w:type="dxa"/>
            <w:tcBorders/>
            <w:shd w:fill="FFFFFF" w:val="clear"/>
            <w:vAlign w:val="bottom"/>
          </w:tcPr>
          <w:p>
            <w:pPr>
              <w:pStyle w:val="Normal"/>
              <w:rPr>
                <w:rFonts w:eastAsia="Arial Unicode MS" w:cs="Arial"/>
                <w:sz w:val="20"/>
              </w:rPr>
            </w:pPr>
            <w:r>
              <w:rPr>
                <w:rFonts w:cs="Arial"/>
                <w:sz w:val="20"/>
              </w:rPr>
              <w:t> </w:t>
            </w:r>
          </w:p>
        </w:tc>
      </w:tr>
      <w:tr>
        <w:trPr>
          <w:trHeight w:val="270" w:hRule="atLeast"/>
        </w:trPr>
        <w:tc>
          <w:tcPr>
            <w:tcW w:w="2276" w:type="dxa"/>
            <w:tcBorders/>
            <w:shd w:fill="FFFFFF" w:val="clear"/>
            <w:vAlign w:val="bottom"/>
          </w:tcPr>
          <w:p>
            <w:pPr>
              <w:pStyle w:val="Normal"/>
              <w:rPr>
                <w:rFonts w:eastAsia="Arial Unicode MS" w:cs="Arial"/>
                <w:sz w:val="20"/>
              </w:rPr>
            </w:pPr>
            <w:r>
              <w:rPr>
                <w:rFonts w:cs="Arial"/>
                <w:sz w:val="20"/>
              </w:rPr>
              <w:t> </w:t>
            </w:r>
          </w:p>
        </w:tc>
        <w:tc>
          <w:tcPr>
            <w:tcW w:w="1145" w:type="dxa"/>
            <w:tcBorders/>
            <w:shd w:fill="FFFFFF" w:val="clear"/>
            <w:vAlign w:val="bottom"/>
          </w:tcPr>
          <w:p>
            <w:pPr>
              <w:pStyle w:val="Normal"/>
              <w:rPr>
                <w:rFonts w:eastAsia="Arial Unicode MS" w:cs="Arial"/>
                <w:sz w:val="20"/>
              </w:rPr>
            </w:pPr>
            <w:r>
              <w:rPr>
                <w:rFonts w:cs="Arial"/>
                <w:sz w:val="20"/>
              </w:rPr>
              <w:t> </w:t>
            </w:r>
          </w:p>
        </w:tc>
        <w:tc>
          <w:tcPr>
            <w:tcW w:w="1207" w:type="dxa"/>
            <w:tcBorders/>
            <w:shd w:fill="FFFFFF" w:val="clear"/>
            <w:vAlign w:val="bottom"/>
          </w:tcPr>
          <w:p>
            <w:pPr>
              <w:pStyle w:val="Normal"/>
              <w:rPr>
                <w:rFonts w:eastAsia="Arial Unicode MS" w:cs="Arial"/>
                <w:sz w:val="20"/>
              </w:rPr>
            </w:pPr>
            <w:r>
              <w:rPr>
                <w:rFonts w:cs="Arial"/>
                <w:sz w:val="20"/>
              </w:rPr>
              <w:t> </w:t>
            </w:r>
          </w:p>
        </w:tc>
        <w:tc>
          <w:tcPr>
            <w:tcW w:w="1324" w:type="dxa"/>
            <w:tcBorders/>
            <w:shd w:fill="FFFFFF" w:val="clear"/>
            <w:vAlign w:val="bottom"/>
          </w:tcPr>
          <w:p>
            <w:pPr>
              <w:pStyle w:val="Normal"/>
              <w:rPr>
                <w:rFonts w:eastAsia="Arial Unicode MS" w:cs="Arial"/>
                <w:sz w:val="20"/>
              </w:rPr>
            </w:pPr>
            <w:r>
              <w:rPr>
                <w:rFonts w:cs="Arial"/>
                <w:sz w:val="20"/>
              </w:rPr>
              <w:t> </w:t>
            </w:r>
          </w:p>
        </w:tc>
        <w:tc>
          <w:tcPr>
            <w:tcW w:w="1207" w:type="dxa"/>
            <w:tcBorders/>
            <w:shd w:fill="FFFFFF" w:val="clear"/>
            <w:vAlign w:val="bottom"/>
          </w:tcPr>
          <w:p>
            <w:pPr>
              <w:pStyle w:val="Normal"/>
              <w:rPr>
                <w:rFonts w:eastAsia="Arial Unicode MS" w:cs="Arial"/>
                <w:sz w:val="20"/>
              </w:rPr>
            </w:pPr>
            <w:r>
              <w:rPr>
                <w:rFonts w:cs="Arial"/>
                <w:sz w:val="20"/>
              </w:rPr>
              <w:t> </w:t>
            </w:r>
          </w:p>
        </w:tc>
        <w:tc>
          <w:tcPr>
            <w:tcW w:w="996" w:type="dxa"/>
            <w:tcBorders/>
            <w:shd w:fill="FFFFFF" w:val="clear"/>
            <w:vAlign w:val="bottom"/>
          </w:tcPr>
          <w:p>
            <w:pPr>
              <w:pStyle w:val="Normal"/>
              <w:rPr>
                <w:rFonts w:eastAsia="Arial Unicode MS" w:cs="Arial"/>
                <w:sz w:val="20"/>
              </w:rPr>
            </w:pPr>
            <w:r>
              <w:rPr>
                <w:rFonts w:cs="Arial"/>
                <w:sz w:val="20"/>
              </w:rPr>
              <w:t> </w:t>
            </w:r>
          </w:p>
        </w:tc>
      </w:tr>
      <w:tr>
        <w:trPr>
          <w:trHeight w:val="690" w:hRule="atLeast"/>
        </w:trPr>
        <w:tc>
          <w:tcPr>
            <w:tcW w:w="2276" w:type="dxa"/>
            <w:tcBorders>
              <w:top w:val="single" w:sz="8" w:space="0" w:color="000000"/>
              <w:start w:val="single" w:sz="8" w:space="0" w:color="000000"/>
              <w:bottom w:val="single" w:sz="8" w:space="0" w:color="000000"/>
            </w:tcBorders>
            <w:shd w:fill="FFFFFF" w:val="clear"/>
            <w:vAlign w:val="bottom"/>
          </w:tcPr>
          <w:p>
            <w:pPr>
              <w:pStyle w:val="Normal"/>
              <w:rPr>
                <w:rFonts w:eastAsia="Arial Unicode MS" w:cs="Arial"/>
                <w:sz w:val="16"/>
                <w:szCs w:val="16"/>
              </w:rPr>
            </w:pPr>
            <w:r>
              <w:rPr>
                <w:rFonts w:cs="Arial"/>
                <w:sz w:val="16"/>
                <w:szCs w:val="16"/>
              </w:rPr>
              <w:t>Group</w:t>
            </w:r>
          </w:p>
        </w:tc>
        <w:tc>
          <w:tcPr>
            <w:tcW w:w="1145" w:type="dxa"/>
            <w:tcBorders>
              <w:top w:val="single" w:sz="8" w:space="0" w:color="000000"/>
              <w:start w:val="single" w:sz="8" w:space="0" w:color="000000"/>
              <w:end w:val="single" w:sz="8" w:space="0" w:color="000000"/>
            </w:tcBorders>
            <w:shd w:fill="FFFFFF" w:val="clear"/>
            <w:vAlign w:val="bottom"/>
          </w:tcPr>
          <w:p>
            <w:pPr>
              <w:pStyle w:val="Normal"/>
              <w:jc w:val="center"/>
              <w:rPr>
                <w:rFonts w:eastAsia="Arial Unicode MS" w:cs="Arial"/>
                <w:sz w:val="16"/>
                <w:szCs w:val="16"/>
              </w:rPr>
            </w:pPr>
            <w:r>
              <w:rPr>
                <w:rFonts w:cs="Arial"/>
                <w:sz w:val="16"/>
                <w:szCs w:val="16"/>
              </w:rPr>
              <w:t>Initial LC and Identifying Number</w:t>
            </w:r>
          </w:p>
        </w:tc>
        <w:tc>
          <w:tcPr>
            <w:tcW w:w="1207" w:type="dxa"/>
            <w:tcBorders>
              <w:top w:val="single" w:sz="8" w:space="0" w:color="000000"/>
              <w:bottom w:val="single" w:sz="8" w:space="0" w:color="000000"/>
            </w:tcBorders>
            <w:shd w:fill="FFFFFF" w:val="clear"/>
            <w:vAlign w:val="bottom"/>
          </w:tcPr>
          <w:p>
            <w:pPr>
              <w:pStyle w:val="Normal"/>
              <w:jc w:val="center"/>
              <w:rPr>
                <w:rFonts w:eastAsia="Arial Unicode MS" w:cs="Arial"/>
                <w:sz w:val="16"/>
                <w:szCs w:val="16"/>
              </w:rPr>
            </w:pPr>
            <w:r>
              <w:rPr>
                <w:rFonts w:cs="Arial"/>
                <w:sz w:val="16"/>
                <w:szCs w:val="16"/>
              </w:rPr>
              <w:t>Revised LC</w:t>
            </w:r>
          </w:p>
        </w:tc>
        <w:tc>
          <w:tcPr>
            <w:tcW w:w="1324" w:type="dxa"/>
            <w:tcBorders>
              <w:top w:val="single" w:sz="8" w:space="0" w:color="000000"/>
              <w:start w:val="single" w:sz="8" w:space="0" w:color="000000"/>
              <w:bottom w:val="single" w:sz="8" w:space="0" w:color="000000"/>
              <w:end w:val="single" w:sz="8" w:space="0" w:color="000000"/>
            </w:tcBorders>
            <w:shd w:fill="FFFFFF" w:val="clear"/>
            <w:vAlign w:val="bottom"/>
          </w:tcPr>
          <w:p>
            <w:pPr>
              <w:pStyle w:val="Normal"/>
              <w:jc w:val="center"/>
              <w:rPr>
                <w:rFonts w:eastAsia="Arial Unicode MS" w:cs="Arial"/>
                <w:sz w:val="16"/>
                <w:szCs w:val="16"/>
              </w:rPr>
            </w:pPr>
            <w:r>
              <w:rPr>
                <w:rFonts w:cs="Arial"/>
                <w:sz w:val="16"/>
                <w:szCs w:val="16"/>
              </w:rPr>
              <w:t>Recommended LC (Oct 31,2001)</w:t>
            </w:r>
          </w:p>
        </w:tc>
        <w:tc>
          <w:tcPr>
            <w:tcW w:w="1207" w:type="dxa"/>
            <w:tcBorders>
              <w:top w:val="single" w:sz="8" w:space="0" w:color="000000"/>
              <w:bottom w:val="single" w:sz="8" w:space="0" w:color="000000"/>
              <w:end w:val="single" w:sz="8" w:space="0" w:color="000000"/>
            </w:tcBorders>
            <w:shd w:fill="FFFFFF" w:val="clear"/>
            <w:vAlign w:val="bottom"/>
          </w:tcPr>
          <w:p>
            <w:pPr>
              <w:pStyle w:val="Normal"/>
              <w:jc w:val="center"/>
              <w:rPr>
                <w:rFonts w:eastAsia="Arial Unicode MS" w:cs="Arial"/>
                <w:sz w:val="16"/>
                <w:szCs w:val="16"/>
              </w:rPr>
            </w:pPr>
            <w:r>
              <w:rPr>
                <w:rFonts w:cs="Arial"/>
                <w:sz w:val="16"/>
                <w:szCs w:val="16"/>
              </w:rPr>
              <w:t>Estimated LC (Dec 31,2001)</w:t>
            </w:r>
          </w:p>
        </w:tc>
        <w:tc>
          <w:tcPr>
            <w:tcW w:w="996" w:type="dxa"/>
            <w:tcBorders>
              <w:top w:val="single" w:sz="8" w:space="0" w:color="000000"/>
              <w:bottom w:val="single" w:sz="8" w:space="0" w:color="000000"/>
              <w:end w:val="single" w:sz="8" w:space="0" w:color="000000"/>
            </w:tcBorders>
            <w:shd w:fill="FFFFFF" w:val="clear"/>
            <w:vAlign w:val="bottom"/>
          </w:tcPr>
          <w:p>
            <w:pPr>
              <w:pStyle w:val="Normal"/>
              <w:jc w:val="center"/>
              <w:rPr>
                <w:rFonts w:eastAsia="Arial Unicode MS" w:cs="Arial"/>
                <w:sz w:val="16"/>
                <w:szCs w:val="16"/>
              </w:rPr>
            </w:pPr>
            <w:r>
              <w:rPr>
                <w:rFonts w:cs="Arial"/>
                <w:sz w:val="16"/>
                <w:szCs w:val="16"/>
              </w:rPr>
              <w:t>Bank</w:t>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Nap Pepin</w:t>
            </w:r>
          </w:p>
        </w:tc>
        <w:tc>
          <w:tcPr>
            <w:tcW w:w="1145" w:type="dxa"/>
            <w:vMerge w:val="restart"/>
            <w:tcBorders>
              <w:top w:val="single" w:sz="8" w:space="0" w:color="000000"/>
              <w:start w:val="single" w:sz="8" w:space="0" w:color="000000"/>
              <w:bottom w:val="single" w:sz="4"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C$130,000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C$300,000</w:t>
            </w:r>
          </w:p>
        </w:tc>
        <w:tc>
          <w:tcPr>
            <w:tcW w:w="1324"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C$300,000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C$450,000</w:t>
            </w:r>
          </w:p>
        </w:tc>
        <w:tc>
          <w:tcPr>
            <w:tcW w:w="996"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Toronto Dominion</w:t>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ATCO Electric Ltd.</w:t>
            </w:r>
          </w:p>
        </w:tc>
        <w:tc>
          <w:tcPr>
            <w:tcW w:w="1145" w:type="dxa"/>
            <w:vMerge w:val="continue"/>
            <w:tcBorders>
              <w:top w:val="single" w:sz="8" w:space="0" w:color="000000"/>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ATCO Centre</w:t>
            </w:r>
          </w:p>
        </w:tc>
        <w:tc>
          <w:tcPr>
            <w:tcW w:w="1145" w:type="dxa"/>
            <w:vMerge w:val="continue"/>
            <w:tcBorders>
              <w:top w:val="single" w:sz="8" w:space="0" w:color="000000"/>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 xml:space="preserve">10035-105 Street </w:t>
            </w:r>
          </w:p>
        </w:tc>
        <w:tc>
          <w:tcPr>
            <w:tcW w:w="1145" w:type="dxa"/>
            <w:vMerge w:val="continue"/>
            <w:tcBorders>
              <w:top w:val="single" w:sz="8" w:space="0" w:color="000000"/>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 xml:space="preserve">Edmonton </w:t>
            </w:r>
          </w:p>
        </w:tc>
        <w:tc>
          <w:tcPr>
            <w:tcW w:w="1145" w:type="dxa"/>
            <w:vMerge w:val="continue"/>
            <w:tcBorders>
              <w:top w:val="single" w:sz="8" w:space="0" w:color="000000"/>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70" w:hRule="atLeast"/>
        </w:trPr>
        <w:tc>
          <w:tcPr>
            <w:tcW w:w="2276" w:type="dxa"/>
            <w:tcBorders>
              <w:start w:val="single" w:sz="8" w:space="0" w:color="000000"/>
              <w:bottom w:val="single" w:sz="8" w:space="0" w:color="000000"/>
            </w:tcBorders>
            <w:shd w:fill="FFFFFF" w:val="clear"/>
            <w:vAlign w:val="bottom"/>
          </w:tcPr>
          <w:p>
            <w:pPr>
              <w:pStyle w:val="Normal"/>
              <w:rPr>
                <w:rFonts w:eastAsia="Arial Unicode MS" w:cs="Arial"/>
                <w:sz w:val="16"/>
                <w:szCs w:val="16"/>
              </w:rPr>
            </w:pPr>
            <w:r>
              <w:rPr>
                <w:rFonts w:cs="Arial"/>
                <w:sz w:val="16"/>
                <w:szCs w:val="16"/>
              </w:rPr>
              <w:t>AB T5J 2V6</w:t>
            </w:r>
          </w:p>
        </w:tc>
        <w:tc>
          <w:tcPr>
            <w:tcW w:w="1145" w:type="dxa"/>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G390421</w:t>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John Yates</w:t>
            </w:r>
          </w:p>
        </w:tc>
        <w:tc>
          <w:tcPr>
            <w:tcW w:w="1145" w:type="dxa"/>
            <w:vMerge w:val="restart"/>
            <w:tcBorders>
              <w:start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C$316,275</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C$475,000</w:t>
            </w:r>
          </w:p>
        </w:tc>
        <w:tc>
          <w:tcPr>
            <w:tcW w:w="1324"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C$750,000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C$1,850,000</w:t>
            </w:r>
          </w:p>
        </w:tc>
        <w:tc>
          <w:tcPr>
            <w:tcW w:w="996"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Toronto Dominion</w:t>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Enmax Power (Calgary)</w:t>
            </w:r>
          </w:p>
        </w:tc>
        <w:tc>
          <w:tcPr>
            <w:tcW w:w="1145" w:type="dxa"/>
            <w:vMerge w:val="continue"/>
            <w:tcBorders>
              <w:start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Corporation</w:t>
            </w:r>
          </w:p>
        </w:tc>
        <w:tc>
          <w:tcPr>
            <w:tcW w:w="1145" w:type="dxa"/>
            <w:vMerge w:val="continue"/>
            <w:tcBorders>
              <w:start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2808 Spiller Road SE</w:t>
            </w:r>
          </w:p>
        </w:tc>
        <w:tc>
          <w:tcPr>
            <w:tcW w:w="1145" w:type="dxa"/>
            <w:vMerge w:val="continue"/>
            <w:tcBorders>
              <w:start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Calgary AB</w:t>
            </w:r>
          </w:p>
        </w:tc>
        <w:tc>
          <w:tcPr>
            <w:tcW w:w="1145" w:type="dxa"/>
            <w:vMerge w:val="continue"/>
            <w:tcBorders>
              <w:start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70" w:hRule="atLeast"/>
        </w:trPr>
        <w:tc>
          <w:tcPr>
            <w:tcW w:w="2276" w:type="dxa"/>
            <w:tcBorders>
              <w:start w:val="single" w:sz="8" w:space="0" w:color="000000"/>
              <w:bottom w:val="single" w:sz="8" w:space="0" w:color="000000"/>
            </w:tcBorders>
            <w:shd w:fill="FFFFFF" w:val="clear"/>
            <w:vAlign w:val="bottom"/>
          </w:tcPr>
          <w:p>
            <w:pPr>
              <w:pStyle w:val="Normal"/>
              <w:rPr>
                <w:rFonts w:eastAsia="Arial Unicode MS" w:cs="Arial"/>
                <w:sz w:val="16"/>
                <w:szCs w:val="16"/>
              </w:rPr>
            </w:pPr>
            <w:r>
              <w:rPr>
                <w:rFonts w:cs="Arial"/>
                <w:sz w:val="16"/>
                <w:szCs w:val="16"/>
              </w:rPr>
              <w:t>T2G 4H3</w:t>
            </w:r>
          </w:p>
        </w:tc>
        <w:tc>
          <w:tcPr>
            <w:tcW w:w="1145" w:type="dxa"/>
            <w:tcBorders>
              <w:top w:val="single" w:sz="4" w:space="0" w:color="000000"/>
              <w:start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G390422</w:t>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John Yates</w:t>
            </w:r>
          </w:p>
        </w:tc>
        <w:tc>
          <w:tcPr>
            <w:tcW w:w="1145" w:type="dxa"/>
            <w:vMerge w:val="restart"/>
            <w:tcBorders>
              <w:top w:val="single" w:sz="8" w:space="0" w:color="000000"/>
              <w:start w:val="single" w:sz="8" w:space="0" w:color="000000"/>
              <w:bottom w:val="single" w:sz="4"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C$14,625</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C$30,000</w:t>
            </w:r>
          </w:p>
        </w:tc>
        <w:tc>
          <w:tcPr>
            <w:tcW w:w="1324"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C$40,000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C$75,000</w:t>
            </w:r>
          </w:p>
        </w:tc>
        <w:tc>
          <w:tcPr>
            <w:tcW w:w="996"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Toronto Dominion</w:t>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Enmax Power (Red Deer)</w:t>
            </w:r>
          </w:p>
        </w:tc>
        <w:tc>
          <w:tcPr>
            <w:tcW w:w="1145" w:type="dxa"/>
            <w:vMerge w:val="continue"/>
            <w:tcBorders>
              <w:top w:val="single" w:sz="8" w:space="0" w:color="000000"/>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Corporation</w:t>
            </w:r>
          </w:p>
        </w:tc>
        <w:tc>
          <w:tcPr>
            <w:tcW w:w="1145" w:type="dxa"/>
            <w:vMerge w:val="continue"/>
            <w:tcBorders>
              <w:top w:val="single" w:sz="8" w:space="0" w:color="000000"/>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2808 Spiller Road SE</w:t>
            </w:r>
          </w:p>
        </w:tc>
        <w:tc>
          <w:tcPr>
            <w:tcW w:w="1145" w:type="dxa"/>
            <w:vMerge w:val="continue"/>
            <w:tcBorders>
              <w:top w:val="single" w:sz="8" w:space="0" w:color="000000"/>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tcBorders>
            <w:shd w:fill="FFFFFF" w:val="clear"/>
            <w:vAlign w:val="bottom"/>
          </w:tcPr>
          <w:p>
            <w:pPr>
              <w:pStyle w:val="Normal"/>
              <w:rPr>
                <w:rFonts w:eastAsia="Arial Unicode MS" w:cs="Arial"/>
                <w:sz w:val="16"/>
                <w:szCs w:val="16"/>
              </w:rPr>
            </w:pPr>
            <w:r>
              <w:rPr>
                <w:rFonts w:cs="Arial"/>
                <w:sz w:val="16"/>
                <w:szCs w:val="16"/>
              </w:rPr>
              <w:t>Calgary AB</w:t>
            </w:r>
          </w:p>
        </w:tc>
        <w:tc>
          <w:tcPr>
            <w:tcW w:w="1145" w:type="dxa"/>
            <w:vMerge w:val="continue"/>
            <w:tcBorders>
              <w:top w:val="single" w:sz="8" w:space="0" w:color="000000"/>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70" w:hRule="atLeast"/>
        </w:trPr>
        <w:tc>
          <w:tcPr>
            <w:tcW w:w="2276" w:type="dxa"/>
            <w:tcBorders>
              <w:start w:val="single" w:sz="8" w:space="0" w:color="000000"/>
              <w:bottom w:val="single" w:sz="8" w:space="0" w:color="000000"/>
            </w:tcBorders>
            <w:shd w:fill="FFFFFF" w:val="clear"/>
            <w:vAlign w:val="bottom"/>
          </w:tcPr>
          <w:p>
            <w:pPr>
              <w:pStyle w:val="Normal"/>
              <w:rPr>
                <w:rFonts w:eastAsia="Arial Unicode MS" w:cs="Arial"/>
                <w:sz w:val="16"/>
                <w:szCs w:val="16"/>
              </w:rPr>
            </w:pPr>
            <w:r>
              <w:rPr>
                <w:rFonts w:cs="Arial"/>
                <w:sz w:val="16"/>
                <w:szCs w:val="16"/>
              </w:rPr>
              <w:t>T2G 4H3</w:t>
            </w:r>
          </w:p>
        </w:tc>
        <w:tc>
          <w:tcPr>
            <w:tcW w:w="1145" w:type="dxa"/>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G390424</w:t>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John Yates</w:t>
            </w:r>
          </w:p>
        </w:tc>
        <w:tc>
          <w:tcPr>
            <w:tcW w:w="1145" w:type="dxa"/>
            <w:vMerge w:val="restart"/>
            <w:tcBorders>
              <w:start w:val="single" w:sz="8" w:space="0" w:color="000000"/>
              <w:bottom w:val="single" w:sz="4"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C$600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C$15,000</w:t>
            </w:r>
          </w:p>
        </w:tc>
        <w:tc>
          <w:tcPr>
            <w:tcW w:w="1324"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C$35,000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C$65,000</w:t>
            </w:r>
          </w:p>
        </w:tc>
        <w:tc>
          <w:tcPr>
            <w:tcW w:w="996"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Toronto Dominion</w:t>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Enmax Power (Lethbridge)</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Corporation</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2808 Spiller Road SE</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Calgary AB</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70" w:hRule="atLeast"/>
        </w:trPr>
        <w:tc>
          <w:tcPr>
            <w:tcW w:w="2276" w:type="dxa"/>
            <w:tcBorders>
              <w:start w:val="single" w:sz="8" w:space="0" w:color="000000"/>
              <w:bottom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T2G 4H3</w:t>
            </w:r>
          </w:p>
        </w:tc>
        <w:tc>
          <w:tcPr>
            <w:tcW w:w="1145" w:type="dxa"/>
            <w:tcBorders>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G390423</w:t>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Kenneth Grimes</w:t>
            </w:r>
          </w:p>
        </w:tc>
        <w:tc>
          <w:tcPr>
            <w:tcW w:w="1145" w:type="dxa"/>
            <w:vMerge w:val="restart"/>
            <w:tcBorders>
              <w:start w:val="single" w:sz="8" w:space="0" w:color="000000"/>
              <w:bottom w:val="single" w:sz="4"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$C60,000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$C150,000</w:t>
            </w:r>
          </w:p>
        </w:tc>
        <w:tc>
          <w:tcPr>
            <w:tcW w:w="1324"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$C150,000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C$1,000,000</w:t>
            </w:r>
          </w:p>
        </w:tc>
        <w:tc>
          <w:tcPr>
            <w:tcW w:w="996"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Standard Chartered Bank</w:t>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EPCOR</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Distribution Inc.</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100650 Jasper Ave</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Edmonton, AB</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70" w:hRule="atLeast"/>
        </w:trPr>
        <w:tc>
          <w:tcPr>
            <w:tcW w:w="2276" w:type="dxa"/>
            <w:tcBorders>
              <w:start w:val="single" w:sz="8" w:space="0" w:color="000000"/>
              <w:bottom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T5J 3B1</w:t>
            </w:r>
          </w:p>
        </w:tc>
        <w:tc>
          <w:tcPr>
            <w:tcW w:w="1145" w:type="dxa"/>
            <w:tcBorders>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S9703227</w:t>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Town Manager</w:t>
            </w:r>
          </w:p>
        </w:tc>
        <w:tc>
          <w:tcPr>
            <w:tcW w:w="1145" w:type="dxa"/>
            <w:vMerge w:val="restart"/>
            <w:tcBorders>
              <w:start w:val="single" w:sz="8" w:space="0" w:color="000000"/>
              <w:bottom w:val="single" w:sz="4"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C$5,000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C$5,000</w:t>
            </w:r>
          </w:p>
        </w:tc>
        <w:tc>
          <w:tcPr>
            <w:tcW w:w="1324"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C$12,000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C$12,000</w:t>
            </w:r>
          </w:p>
        </w:tc>
        <w:tc>
          <w:tcPr>
            <w:tcW w:w="996"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Toronto Dominion</w:t>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 xml:space="preserve">Town of </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Ponoka</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5102 - 48 Avenue</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Ponoka, AB</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70" w:hRule="atLeast"/>
        </w:trPr>
        <w:tc>
          <w:tcPr>
            <w:tcW w:w="2276" w:type="dxa"/>
            <w:tcBorders>
              <w:start w:val="single" w:sz="8" w:space="0" w:color="000000"/>
              <w:bottom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T4H 1P7</w:t>
            </w:r>
          </w:p>
        </w:tc>
        <w:tc>
          <w:tcPr>
            <w:tcW w:w="1145" w:type="dxa"/>
            <w:tcBorders>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G390425</w:t>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 xml:space="preserve">Sandra Gault </w:t>
            </w:r>
          </w:p>
        </w:tc>
        <w:tc>
          <w:tcPr>
            <w:tcW w:w="1145" w:type="dxa"/>
            <w:vMerge w:val="restart"/>
            <w:tcBorders>
              <w:start w:val="single" w:sz="8" w:space="0" w:color="000000"/>
              <w:bottom w:val="single" w:sz="4"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C$4,800,000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C$4,800,000</w:t>
            </w:r>
          </w:p>
        </w:tc>
        <w:tc>
          <w:tcPr>
            <w:tcW w:w="1324"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C$2,500,000</w:t>
            </w:r>
          </w:p>
        </w:tc>
        <w:tc>
          <w:tcPr>
            <w:tcW w:w="1207"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C$6,000,000</w:t>
            </w:r>
          </w:p>
        </w:tc>
        <w:tc>
          <w:tcPr>
            <w:tcW w:w="996" w:type="dxa"/>
            <w:vMerge w:val="restart"/>
            <w:tcBorders>
              <w:start w:val="single" w:sz="8" w:space="0" w:color="000000"/>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Standard Chartered Bank</w:t>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Power Pool of Alberta</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1800, 700-4th</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Avenue SW</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55" w:hRule="atLeast"/>
        </w:trPr>
        <w:tc>
          <w:tcPr>
            <w:tcW w:w="2276" w:type="dxa"/>
            <w:tcBorders>
              <w:start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Calgary AB</w:t>
            </w:r>
          </w:p>
        </w:tc>
        <w:tc>
          <w:tcPr>
            <w:tcW w:w="1145" w:type="dxa"/>
            <w:vMerge w:val="continue"/>
            <w:tcBorders>
              <w:start w:val="single" w:sz="8" w:space="0" w:color="000000"/>
              <w:bottom w:val="single" w:sz="4"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70" w:hRule="atLeast"/>
        </w:trPr>
        <w:tc>
          <w:tcPr>
            <w:tcW w:w="2276" w:type="dxa"/>
            <w:tcBorders>
              <w:start w:val="single" w:sz="8" w:space="0" w:color="000000"/>
              <w:bottom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T2P 3J4</w:t>
            </w:r>
          </w:p>
        </w:tc>
        <w:tc>
          <w:tcPr>
            <w:tcW w:w="1145" w:type="dxa"/>
            <w:tcBorders>
              <w:bottom w:val="single" w:sz="8" w:space="0" w:color="000000"/>
              <w:end w:val="single" w:sz="8" w:space="0" w:color="000000"/>
            </w:tcBorders>
            <w:shd w:fill="FFFFFF" w:val="clear"/>
            <w:vAlign w:val="center"/>
          </w:tcPr>
          <w:p>
            <w:pPr>
              <w:pStyle w:val="Normal"/>
              <w:jc w:val="center"/>
              <w:rPr>
                <w:rFonts w:eastAsia="Arial Unicode MS" w:cs="Arial"/>
                <w:sz w:val="16"/>
                <w:szCs w:val="16"/>
              </w:rPr>
            </w:pPr>
            <w:r>
              <w:rPr>
                <w:rFonts w:cs="Arial"/>
                <w:sz w:val="16"/>
                <w:szCs w:val="16"/>
              </w:rPr>
              <w:t>S9703222</w:t>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324"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1207"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c>
          <w:tcPr>
            <w:tcW w:w="996" w:type="dxa"/>
            <w:vMerge w:val="continue"/>
            <w:tcBorders>
              <w:start w:val="single" w:sz="8" w:space="0" w:color="000000"/>
              <w:bottom w:val="single" w:sz="8" w:space="0" w:color="000000"/>
              <w:end w:val="single" w:sz="8" w:space="0" w:color="000000"/>
            </w:tcBorders>
            <w:shd w:fill="FFFFFF" w:val="clear"/>
            <w:vAlign w:val="center"/>
          </w:tcPr>
          <w:p>
            <w:pPr>
              <w:pStyle w:val="Normal"/>
              <w:snapToGrid w:val="false"/>
              <w:rPr>
                <w:rFonts w:eastAsia="Arial Unicode MS" w:cs="Arial"/>
                <w:sz w:val="16"/>
                <w:szCs w:val="16"/>
              </w:rPr>
            </w:pPr>
            <w:r>
              <w:rPr>
                <w:rFonts w:eastAsia="Arial Unicode MS" w:cs="Arial"/>
                <w:sz w:val="16"/>
                <w:szCs w:val="16"/>
              </w:rPr>
            </w:r>
          </w:p>
        </w:tc>
      </w:tr>
      <w:tr>
        <w:trPr>
          <w:trHeight w:val="270" w:hRule="atLeast"/>
        </w:trPr>
        <w:tc>
          <w:tcPr>
            <w:tcW w:w="2276" w:type="dxa"/>
            <w:tcBorders>
              <w:start w:val="single" w:sz="8" w:space="0" w:color="000000"/>
              <w:bottom w:val="single" w:sz="8" w:space="0" w:color="000000"/>
              <w:end w:val="single" w:sz="8" w:space="0" w:color="000000"/>
            </w:tcBorders>
            <w:shd w:fill="FFFFFF" w:val="clear"/>
            <w:vAlign w:val="bottom"/>
          </w:tcPr>
          <w:p>
            <w:pPr>
              <w:pStyle w:val="Normal"/>
              <w:rPr>
                <w:rFonts w:eastAsia="Arial Unicode MS" w:cs="Arial"/>
                <w:sz w:val="16"/>
                <w:szCs w:val="16"/>
              </w:rPr>
            </w:pPr>
            <w:r>
              <w:rPr>
                <w:rFonts w:cs="Arial"/>
                <w:sz w:val="16"/>
                <w:szCs w:val="16"/>
              </w:rPr>
              <w:t>Total</w:t>
            </w:r>
          </w:p>
        </w:tc>
        <w:tc>
          <w:tcPr>
            <w:tcW w:w="1145" w:type="dxa"/>
            <w:tcBorders/>
            <w:shd w:fill="FFFFFF" w:val="clear"/>
            <w:vAlign w:val="bottom"/>
          </w:tcPr>
          <w:p>
            <w:pPr>
              <w:pStyle w:val="Normal"/>
              <w:rPr>
                <w:rFonts w:eastAsia="Arial Unicode MS" w:cs="Arial"/>
                <w:sz w:val="16"/>
                <w:szCs w:val="16"/>
              </w:rPr>
            </w:pPr>
            <w:r>
              <w:rPr>
                <w:rFonts w:cs="Arial"/>
                <w:sz w:val="16"/>
                <w:szCs w:val="16"/>
              </w:rPr>
              <w:t> </w:t>
            </w:r>
          </w:p>
        </w:tc>
        <w:tc>
          <w:tcPr>
            <w:tcW w:w="1207" w:type="dxa"/>
            <w:tcBorders>
              <w:start w:val="single" w:sz="8" w:space="0" w:color="000000"/>
              <w:bottom w:val="single" w:sz="8" w:space="0" w:color="000000"/>
              <w:end w:val="single" w:sz="8" w:space="0" w:color="000000"/>
            </w:tcBorders>
            <w:shd w:fill="FFFFFF" w:val="clear"/>
            <w:vAlign w:val="bottom"/>
          </w:tcPr>
          <w:p>
            <w:pPr>
              <w:pStyle w:val="Normal"/>
              <w:rPr>
                <w:rFonts w:eastAsia="Arial Unicode MS" w:cs="Arial"/>
                <w:sz w:val="16"/>
                <w:szCs w:val="16"/>
              </w:rPr>
            </w:pPr>
            <w:r>
              <w:rPr>
                <w:rFonts w:eastAsia="Arial" w:cs="Arial"/>
                <w:sz w:val="16"/>
                <w:szCs w:val="16"/>
              </w:rPr>
              <w:t xml:space="preserve"> </w:t>
            </w:r>
            <w:r>
              <w:rPr>
                <w:rFonts w:cs="Arial"/>
                <w:sz w:val="16"/>
                <w:szCs w:val="16"/>
              </w:rPr>
              <w:t xml:space="preserve">$   5,775,000 </w:t>
            </w:r>
          </w:p>
        </w:tc>
        <w:tc>
          <w:tcPr>
            <w:tcW w:w="1324" w:type="dxa"/>
            <w:tcBorders>
              <w:bottom w:val="single" w:sz="8" w:space="0" w:color="000000"/>
              <w:end w:val="single" w:sz="8" w:space="0" w:color="000000"/>
            </w:tcBorders>
            <w:shd w:fill="FFFFFF" w:val="clear"/>
            <w:vAlign w:val="bottom"/>
          </w:tcPr>
          <w:p>
            <w:pPr>
              <w:pStyle w:val="Normal"/>
              <w:rPr>
                <w:rFonts w:eastAsia="Arial Unicode MS" w:cs="Arial"/>
                <w:sz w:val="16"/>
                <w:szCs w:val="16"/>
              </w:rPr>
            </w:pPr>
            <w:r>
              <w:rPr>
                <w:rFonts w:eastAsia="Arial" w:cs="Arial"/>
                <w:sz w:val="16"/>
                <w:szCs w:val="16"/>
              </w:rPr>
              <w:t xml:space="preserve"> </w:t>
            </w:r>
            <w:r>
              <w:rPr>
                <w:rFonts w:cs="Arial"/>
                <w:sz w:val="16"/>
                <w:szCs w:val="16"/>
              </w:rPr>
              <w:t xml:space="preserve">$    3,787,000 </w:t>
            </w:r>
          </w:p>
        </w:tc>
        <w:tc>
          <w:tcPr>
            <w:tcW w:w="1207" w:type="dxa"/>
            <w:tcBorders>
              <w:bottom w:val="single" w:sz="8" w:space="0" w:color="000000"/>
              <w:end w:val="single" w:sz="8" w:space="0" w:color="000000"/>
            </w:tcBorders>
            <w:shd w:fill="FFFFFF" w:val="clear"/>
            <w:vAlign w:val="bottom"/>
          </w:tcPr>
          <w:p>
            <w:pPr>
              <w:pStyle w:val="Normal"/>
              <w:rPr>
                <w:rFonts w:eastAsia="Arial Unicode MS" w:cs="Arial"/>
                <w:sz w:val="16"/>
                <w:szCs w:val="16"/>
              </w:rPr>
            </w:pPr>
            <w:r>
              <w:rPr>
                <w:rFonts w:eastAsia="Arial" w:cs="Arial"/>
                <w:sz w:val="16"/>
                <w:szCs w:val="16"/>
              </w:rPr>
              <w:t xml:space="preserve"> </w:t>
            </w:r>
            <w:r>
              <w:rPr>
                <w:rFonts w:cs="Arial"/>
                <w:sz w:val="16"/>
                <w:szCs w:val="16"/>
              </w:rPr>
              <w:t xml:space="preserve">$   9,452,000 </w:t>
            </w:r>
          </w:p>
        </w:tc>
        <w:tc>
          <w:tcPr>
            <w:tcW w:w="996" w:type="dxa"/>
            <w:tcBorders/>
            <w:shd w:fill="FFFFFF" w:val="clear"/>
            <w:vAlign w:val="bottom"/>
          </w:tcPr>
          <w:p>
            <w:pPr>
              <w:pStyle w:val="Normal"/>
              <w:rPr>
                <w:rFonts w:eastAsia="Arial Unicode MS" w:cs="Arial"/>
                <w:sz w:val="16"/>
                <w:szCs w:val="16"/>
              </w:rPr>
            </w:pPr>
            <w:r>
              <w:rPr>
                <w:rFonts w:cs="Arial"/>
                <w:sz w:val="16"/>
                <w:szCs w:val="16"/>
              </w:rPr>
              <w:t> </w:t>
            </w:r>
          </w:p>
        </w:tc>
      </w:tr>
      <w:tr>
        <w:trPr>
          <w:trHeight w:val="255" w:hRule="atLeast"/>
        </w:trPr>
        <w:tc>
          <w:tcPr>
            <w:tcW w:w="2276" w:type="dxa"/>
            <w:tcBorders/>
            <w:shd w:fill="FFFFFF" w:val="clear"/>
            <w:vAlign w:val="bottom"/>
          </w:tcPr>
          <w:p>
            <w:pPr>
              <w:pStyle w:val="Normal"/>
              <w:rPr>
                <w:rFonts w:eastAsia="Arial Unicode MS" w:cs="Arial"/>
                <w:sz w:val="16"/>
                <w:szCs w:val="16"/>
              </w:rPr>
            </w:pPr>
            <w:r>
              <w:rPr>
                <w:rFonts w:cs="Arial"/>
                <w:sz w:val="16"/>
                <w:szCs w:val="16"/>
              </w:rPr>
              <w:t> </w:t>
            </w:r>
          </w:p>
        </w:tc>
        <w:tc>
          <w:tcPr>
            <w:tcW w:w="1145" w:type="dxa"/>
            <w:tcBorders/>
            <w:shd w:fill="FFFFFF" w:val="clear"/>
            <w:vAlign w:val="bottom"/>
          </w:tcPr>
          <w:p>
            <w:pPr>
              <w:pStyle w:val="Normal"/>
              <w:rPr>
                <w:rFonts w:eastAsia="Arial Unicode MS" w:cs="Arial"/>
                <w:sz w:val="16"/>
                <w:szCs w:val="16"/>
              </w:rPr>
            </w:pPr>
            <w:r>
              <w:rPr>
                <w:rFonts w:cs="Arial"/>
                <w:sz w:val="16"/>
                <w:szCs w:val="16"/>
              </w:rPr>
              <w:t> </w:t>
            </w:r>
          </w:p>
        </w:tc>
        <w:tc>
          <w:tcPr>
            <w:tcW w:w="1207" w:type="dxa"/>
            <w:tcBorders/>
            <w:shd w:fill="FFFFFF" w:val="clear"/>
            <w:vAlign w:val="bottom"/>
          </w:tcPr>
          <w:p>
            <w:pPr>
              <w:pStyle w:val="Normal"/>
              <w:rPr>
                <w:rFonts w:eastAsia="Arial Unicode MS" w:cs="Arial"/>
                <w:sz w:val="16"/>
                <w:szCs w:val="16"/>
              </w:rPr>
            </w:pPr>
            <w:r>
              <w:rPr>
                <w:rFonts w:cs="Arial"/>
                <w:sz w:val="16"/>
                <w:szCs w:val="16"/>
              </w:rPr>
              <w:t> </w:t>
            </w:r>
          </w:p>
        </w:tc>
        <w:tc>
          <w:tcPr>
            <w:tcW w:w="1324" w:type="dxa"/>
            <w:tcBorders/>
            <w:shd w:fill="FFFFFF" w:val="clear"/>
            <w:vAlign w:val="bottom"/>
          </w:tcPr>
          <w:p>
            <w:pPr>
              <w:pStyle w:val="Normal"/>
              <w:rPr>
                <w:rFonts w:eastAsia="Arial Unicode MS" w:cs="Arial"/>
                <w:sz w:val="16"/>
                <w:szCs w:val="16"/>
              </w:rPr>
            </w:pPr>
            <w:r>
              <w:rPr>
                <w:rFonts w:cs="Arial"/>
                <w:sz w:val="16"/>
                <w:szCs w:val="16"/>
              </w:rPr>
              <w:t> </w:t>
            </w:r>
          </w:p>
        </w:tc>
        <w:tc>
          <w:tcPr>
            <w:tcW w:w="2203" w:type="dxa"/>
            <w:gridSpan w:val="2"/>
            <w:tcBorders/>
            <w:shd w:fill="FFFFFF" w:val="clear"/>
            <w:vAlign w:val="bottom"/>
          </w:tcPr>
          <w:p>
            <w:pPr>
              <w:pStyle w:val="Normal"/>
              <w:rPr>
                <w:rFonts w:eastAsia="Arial Unicode MS" w:cs="Arial"/>
                <w:sz w:val="16"/>
                <w:szCs w:val="16"/>
              </w:rPr>
            </w:pPr>
            <w:r>
              <w:rPr>
                <w:rFonts w:cs="Arial"/>
                <w:sz w:val="16"/>
                <w:szCs w:val="16"/>
              </w:rPr>
              <w:t>*assumes 4500 Sites</w:t>
            </w:r>
          </w:p>
        </w:tc>
      </w:tr>
      <w:tr>
        <w:trPr>
          <w:trHeight w:val="255" w:hRule="atLeast"/>
        </w:trPr>
        <w:tc>
          <w:tcPr>
            <w:tcW w:w="2276" w:type="dxa"/>
            <w:tcBorders/>
            <w:shd w:fill="FFFFFF" w:val="clear"/>
            <w:vAlign w:val="bottom"/>
          </w:tcPr>
          <w:p>
            <w:pPr>
              <w:pStyle w:val="Normal"/>
              <w:rPr>
                <w:rFonts w:eastAsia="Arial Unicode MS" w:cs="Arial"/>
                <w:sz w:val="16"/>
                <w:szCs w:val="16"/>
              </w:rPr>
            </w:pPr>
            <w:r>
              <w:rPr>
                <w:rFonts w:cs="Arial"/>
                <w:sz w:val="16"/>
                <w:szCs w:val="16"/>
              </w:rPr>
              <w:t> </w:t>
            </w:r>
          </w:p>
        </w:tc>
        <w:tc>
          <w:tcPr>
            <w:tcW w:w="1145" w:type="dxa"/>
            <w:tcBorders/>
            <w:shd w:fill="FFFFFF" w:val="clear"/>
            <w:vAlign w:val="bottom"/>
          </w:tcPr>
          <w:p>
            <w:pPr>
              <w:pStyle w:val="Normal"/>
              <w:rPr>
                <w:rFonts w:eastAsia="Arial Unicode MS" w:cs="Arial"/>
                <w:sz w:val="16"/>
                <w:szCs w:val="16"/>
              </w:rPr>
            </w:pPr>
            <w:r>
              <w:rPr>
                <w:rFonts w:cs="Arial"/>
                <w:sz w:val="16"/>
                <w:szCs w:val="16"/>
              </w:rPr>
              <w:t> </w:t>
            </w:r>
          </w:p>
        </w:tc>
        <w:tc>
          <w:tcPr>
            <w:tcW w:w="1207" w:type="dxa"/>
            <w:tcBorders/>
            <w:shd w:fill="FFFFFF" w:val="clear"/>
            <w:vAlign w:val="bottom"/>
          </w:tcPr>
          <w:p>
            <w:pPr>
              <w:pStyle w:val="Normal"/>
              <w:rPr>
                <w:rFonts w:eastAsia="Arial Unicode MS" w:cs="Arial"/>
                <w:sz w:val="16"/>
                <w:szCs w:val="16"/>
              </w:rPr>
            </w:pPr>
            <w:r>
              <w:rPr>
                <w:rFonts w:cs="Arial"/>
                <w:sz w:val="16"/>
                <w:szCs w:val="16"/>
              </w:rPr>
              <w:t> </w:t>
            </w:r>
          </w:p>
        </w:tc>
        <w:tc>
          <w:tcPr>
            <w:tcW w:w="1324" w:type="dxa"/>
            <w:tcBorders/>
            <w:shd w:fill="FFFFFF" w:val="clear"/>
            <w:vAlign w:val="bottom"/>
          </w:tcPr>
          <w:p>
            <w:pPr>
              <w:pStyle w:val="Normal"/>
              <w:rPr>
                <w:rFonts w:eastAsia="Arial Unicode MS" w:cs="Arial"/>
                <w:sz w:val="16"/>
                <w:szCs w:val="16"/>
              </w:rPr>
            </w:pPr>
            <w:r>
              <w:rPr>
                <w:rFonts w:cs="Arial"/>
                <w:sz w:val="16"/>
                <w:szCs w:val="16"/>
              </w:rPr>
              <w:t> </w:t>
            </w:r>
          </w:p>
        </w:tc>
        <w:tc>
          <w:tcPr>
            <w:tcW w:w="2203" w:type="dxa"/>
            <w:gridSpan w:val="2"/>
            <w:tcBorders/>
            <w:shd w:fill="FFFFFF" w:val="clear"/>
            <w:vAlign w:val="bottom"/>
          </w:tcPr>
          <w:p>
            <w:pPr>
              <w:pStyle w:val="Normal"/>
              <w:rPr>
                <w:rFonts w:eastAsia="Arial Unicode MS" w:cs="Arial"/>
                <w:sz w:val="16"/>
                <w:szCs w:val="16"/>
              </w:rPr>
            </w:pPr>
            <w:r>
              <w:rPr>
                <w:rFonts w:cs="Arial"/>
                <w:sz w:val="16"/>
                <w:szCs w:val="16"/>
              </w:rPr>
              <w:t>4000 agency @ 0.01 MW/hour</w:t>
            </w:r>
          </w:p>
        </w:tc>
      </w:tr>
    </w:tbl>
    <w:p>
      <w:pPr>
        <w:pStyle w:val="Body"/>
        <w:rPr/>
      </w:pPr>
      <w:r>
        <w:rPr/>
      </w:r>
    </w:p>
    <w:p>
      <w:pPr>
        <w:pStyle w:val="Body"/>
        <w:rPr/>
      </w:pPr>
      <w:r>
        <w:rPr/>
      </w:r>
    </w:p>
    <w:p>
      <w:pPr>
        <w:pStyle w:val="Body"/>
        <w:rPr/>
      </w:pPr>
      <w:r>
        <w:rPr/>
      </w:r>
    </w:p>
    <w:p>
      <w:pPr>
        <w:pStyle w:val="Body"/>
        <w:ind w:start="0" w:end="0"/>
        <w:rPr/>
      </w:pPr>
      <w:r>
        <w:rPr/>
        <w:t>Given the variability in the potential prudential requirements for year end, ED plans to monitor customer acquisition over the remainder of the year. Prudential requirements will be reassessed each week based on deals closed in the previous 7 days. Resulting estimates to Houston should be a more accurate prediction of actual business need. (An estimating  model will need to be developed in the next week to make this assessment possible.)</w:t>
      </w:r>
    </w:p>
    <w:p>
      <w:pPr>
        <w:pStyle w:val="Body"/>
        <w:rPr/>
      </w:pPr>
      <w:r>
        <w:rPr/>
      </w:r>
    </w:p>
    <w:p>
      <w:pPr>
        <w:pStyle w:val="Body"/>
        <w:rPr/>
      </w:pPr>
      <w:r>
        <w:rPr/>
      </w:r>
    </w:p>
    <w:p>
      <w:pPr>
        <w:pStyle w:val="Body"/>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xl24">
    <w:name w:val="xl24"/>
    <w:basedOn w:val="Normal"/>
    <w:qFormat/>
    <w:pPr>
      <w:pBdr>
        <w:top w:val="single" w:sz="8" w:space="0" w:color="000000"/>
        <w:left w:val="single" w:sz="8" w:space="0" w:color="000000"/>
        <w:right w:val="single" w:sz="8" w:space="0" w:color="000000"/>
      </w:pBdr>
      <w:shd w:fill="FFFFFF" w:val="clea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xl25">
    <w:name w:val="xl25"/>
    <w:basedOn w:val="Normal"/>
    <w:qFormat/>
    <w:pPr>
      <w:pBdr>
        <w:top w:val="single" w:sz="8" w:space="0" w:color="000000"/>
        <w:left w:val="single" w:sz="8" w:space="0" w:color="000000"/>
        <w:bottom w:val="single" w:sz="8" w:space="0" w:color="000000"/>
        <w:right w:val="single" w:sz="8" w:space="0" w:color="000000"/>
      </w:pBdr>
      <w:shd w:fill="FFFFFF" w:val="clea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xl26">
    <w:name w:val="xl26"/>
    <w:basedOn w:val="Normal"/>
    <w:qFormat/>
    <w:pPr>
      <w:pBdr>
        <w:top w:val="single" w:sz="8" w:space="0" w:color="000000"/>
        <w:left w:val="single" w:sz="8" w:space="0" w:color="000000"/>
      </w:pBdr>
      <w:shd w:fill="FFFFFF" w:val="clea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xl27">
    <w:name w:val="xl27"/>
    <w:basedOn w:val="Normal"/>
    <w:qFormat/>
    <w:pPr>
      <w:pBdr>
        <w:left w:val="single" w:sz="8" w:space="0" w:color="000000"/>
      </w:pBdr>
      <w:shd w:fill="FFFFFF" w:val="clea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xl28">
    <w:name w:val="xl28"/>
    <w:basedOn w:val="Normal"/>
    <w:qFormat/>
    <w:pPr>
      <w:pBdr>
        <w:left w:val="single" w:sz="8" w:space="0" w:color="000000"/>
        <w:bottom w:val="single" w:sz="8" w:space="0" w:color="000000"/>
      </w:pBdr>
      <w:shd w:fill="FFFFFF" w:val="clea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xl29">
    <w:name w:val="xl29"/>
    <w:basedOn w:val="Normal"/>
    <w:qFormat/>
    <w:pPr>
      <w:pBdr>
        <w:left w:val="single" w:sz="8" w:space="0" w:color="000000"/>
        <w:right w:val="single" w:sz="8" w:space="0" w:color="000000"/>
      </w:pBdr>
      <w:shd w:fill="FFFFFF" w:val="clea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xl30">
    <w:name w:val="xl30"/>
    <w:basedOn w:val="Normal"/>
    <w:qFormat/>
    <w:pPr>
      <w:pBdr>
        <w:left w:val="single" w:sz="8" w:space="0" w:color="000000"/>
        <w:bottom w:val="single" w:sz="8" w:space="0" w:color="000000"/>
        <w:right w:val="single" w:sz="8" w:space="0" w:color="000000"/>
      </w:pBdr>
      <w:shd w:fill="FFFFFF" w:val="clea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xl31">
    <w:name w:val="xl31"/>
    <w:basedOn w:val="Normal"/>
    <w:qFormat/>
    <w:pPr>
      <w:pBdr>
        <w:top w:val="single" w:sz="4" w:space="0" w:color="000000"/>
        <w:left w:val="single" w:sz="8" w:space="0" w:color="000000"/>
        <w:bottom w:val="single" w:sz="8" w:space="0" w:color="000000"/>
        <w:right w:val="single" w:sz="8" w:space="0" w:color="000000"/>
      </w:pBdr>
      <w:shd w:fill="FFFFFF" w:val="clear"/>
      <w:tabs>
        <w:tab w:val="clear" w:pos="540"/>
      </w:tabs>
      <w:overflowPunct w:val="true"/>
      <w:autoSpaceDE w:val="true"/>
      <w:spacing w:before="100" w:after="100"/>
      <w:jc w:val="center"/>
      <w:textAlignment w:val="center"/>
    </w:pPr>
    <w:rPr>
      <w:rFonts w:ascii="Arial Unicode MS" w:hAnsi="Arial Unicode MS" w:eastAsia="Arial Unicode MS" w:cs="Arial Unicode MS"/>
      <w:szCs w:val="24"/>
    </w:rPr>
  </w:style>
  <w:style w:type="paragraph" w:styleId="xl32">
    <w:name w:val="xl32"/>
    <w:basedOn w:val="Normal"/>
    <w:qFormat/>
    <w:pPr>
      <w:pBdr>
        <w:top w:val="single" w:sz="4" w:space="0" w:color="000000"/>
        <w:left w:val="single" w:sz="8" w:space="0" w:color="000000"/>
        <w:right w:val="single" w:sz="8" w:space="0" w:color="000000"/>
      </w:pBdr>
      <w:shd w:fill="FFFFFF" w:val="clear"/>
      <w:tabs>
        <w:tab w:val="clear" w:pos="540"/>
      </w:tabs>
      <w:overflowPunct w:val="true"/>
      <w:autoSpaceDE w:val="true"/>
      <w:spacing w:before="100" w:after="100"/>
      <w:jc w:val="center"/>
      <w:textAlignment w:val="center"/>
    </w:pPr>
    <w:rPr>
      <w:rFonts w:ascii="Arial Unicode MS" w:hAnsi="Arial Unicode MS" w:eastAsia="Arial Unicode MS" w:cs="Arial Unicode MS"/>
      <w:szCs w:val="24"/>
    </w:rPr>
  </w:style>
  <w:style w:type="paragraph" w:styleId="xl33">
    <w:name w:val="xl33"/>
    <w:basedOn w:val="Normal"/>
    <w:qFormat/>
    <w:pPr>
      <w:shd w:fill="000000" w:val="clear"/>
      <w:tabs>
        <w:tab w:val="clear" w:pos="540"/>
      </w:tabs>
      <w:overflowPunct w:val="true"/>
      <w:autoSpaceDE w:val="true"/>
      <w:spacing w:before="100" w:after="100"/>
      <w:jc w:val="center"/>
      <w:textAlignment w:val="auto"/>
    </w:pPr>
    <w:rPr>
      <w:rFonts w:eastAsia="Arial Unicode MS" w:cs="Arial"/>
      <w:b/>
      <w:bCs/>
      <w:color w:val="FFFFFF"/>
      <w:sz w:val="28"/>
      <w:szCs w:val="28"/>
    </w:rPr>
  </w:style>
  <w:style w:type="paragraph" w:styleId="xl34">
    <w:name w:val="xl34"/>
    <w:basedOn w:val="Normal"/>
    <w:qFormat/>
    <w:pPr>
      <w:pBdr>
        <w:top w:val="single" w:sz="8" w:space="0" w:color="000000"/>
        <w:left w:val="single" w:sz="8" w:space="0" w:color="000000"/>
        <w:bottom w:val="single" w:sz="4" w:space="0" w:color="000000"/>
        <w:right w:val="single" w:sz="8" w:space="0" w:color="000000"/>
      </w:pBdr>
      <w:shd w:fill="FFFFFF" w:val="clear"/>
      <w:tabs>
        <w:tab w:val="clear" w:pos="540"/>
      </w:tabs>
      <w:overflowPunct w:val="true"/>
      <w:autoSpaceDE w:val="true"/>
      <w:spacing w:before="100" w:after="100"/>
      <w:jc w:val="center"/>
      <w:textAlignment w:val="center"/>
    </w:pPr>
    <w:rPr>
      <w:rFonts w:ascii="Arial Unicode MS" w:hAnsi="Arial Unicode MS" w:eastAsia="Arial Unicode MS" w:cs="Arial Unicode MS"/>
      <w:szCs w:val="24"/>
    </w:rPr>
  </w:style>
  <w:style w:type="paragraph" w:styleId="xl35">
    <w:name w:val="xl35"/>
    <w:basedOn w:val="Normal"/>
    <w:qFormat/>
    <w:pPr>
      <w:pBdr>
        <w:top w:val="single" w:sz="4" w:space="0" w:color="000000"/>
        <w:left w:val="single" w:sz="8" w:space="0" w:color="000000"/>
        <w:bottom w:val="single" w:sz="4" w:space="0" w:color="000000"/>
        <w:right w:val="single" w:sz="8" w:space="0" w:color="000000"/>
      </w:pBdr>
      <w:shd w:fill="FFFFFF" w:val="clear"/>
      <w:tabs>
        <w:tab w:val="clear" w:pos="540"/>
      </w:tabs>
      <w:overflowPunct w:val="true"/>
      <w:autoSpaceDE w:val="true"/>
      <w:spacing w:before="100" w:after="100"/>
      <w:jc w:val="center"/>
      <w:textAlignment w:val="center"/>
    </w:pPr>
    <w:rPr>
      <w:rFonts w:ascii="Arial Unicode MS" w:hAnsi="Arial Unicode MS" w:eastAsia="Arial Unicode MS" w:cs="Arial Unicode MS"/>
      <w:szCs w:val="24"/>
    </w:rPr>
  </w:style>
  <w:style w:type="paragraph" w:styleId="xl36">
    <w:name w:val="xl36"/>
    <w:basedOn w:val="Normal"/>
    <w:qFormat/>
    <w:pPr>
      <w:pBdr>
        <w:top w:val="single" w:sz="8" w:space="0" w:color="000000"/>
        <w:left w:val="single" w:sz="8" w:space="0" w:color="000000"/>
        <w:right w:val="single" w:sz="8" w:space="0" w:color="000000"/>
      </w:pBdr>
      <w:shd w:fill="FFFFFF" w:val="clear"/>
      <w:tabs>
        <w:tab w:val="clear" w:pos="540"/>
      </w:tabs>
      <w:overflowPunct w:val="true"/>
      <w:autoSpaceDE w:val="true"/>
      <w:spacing w:before="100" w:after="100"/>
      <w:jc w:val="center"/>
      <w:textAlignment w:val="center"/>
    </w:pPr>
    <w:rPr>
      <w:rFonts w:ascii="Arial Unicode MS" w:hAnsi="Arial Unicode MS" w:eastAsia="Arial Unicode MS" w:cs="Arial Unicode MS"/>
      <w:szCs w:val="24"/>
    </w:rPr>
  </w:style>
  <w:style w:type="paragraph" w:styleId="xl37">
    <w:name w:val="xl37"/>
    <w:basedOn w:val="Normal"/>
    <w:qFormat/>
    <w:pPr>
      <w:pBdr>
        <w:left w:val="single" w:sz="8" w:space="0" w:color="000000"/>
        <w:right w:val="single" w:sz="8" w:space="0" w:color="000000"/>
      </w:pBdr>
      <w:shd w:fill="FFFFFF" w:val="clear"/>
      <w:tabs>
        <w:tab w:val="clear" w:pos="540"/>
      </w:tabs>
      <w:overflowPunct w:val="true"/>
      <w:autoSpaceDE w:val="true"/>
      <w:spacing w:before="100" w:after="100"/>
      <w:jc w:val="center"/>
      <w:textAlignment w:val="center"/>
    </w:pPr>
    <w:rPr>
      <w:rFonts w:ascii="Arial Unicode MS" w:hAnsi="Arial Unicode MS" w:eastAsia="Arial Unicode MS" w:cs="Arial Unicode MS"/>
      <w:szCs w:val="24"/>
    </w:rPr>
  </w:style>
  <w:style w:type="paragraph" w:styleId="xl38">
    <w:name w:val="xl38"/>
    <w:basedOn w:val="Normal"/>
    <w:qFormat/>
    <w:pPr>
      <w:pBdr>
        <w:left w:val="single" w:sz="8" w:space="0" w:color="000000"/>
        <w:bottom w:val="single" w:sz="8" w:space="0" w:color="000000"/>
        <w:right w:val="single" w:sz="8" w:space="0" w:color="000000"/>
      </w:pBdr>
      <w:shd w:fill="FFFFFF" w:val="clear"/>
      <w:tabs>
        <w:tab w:val="clear" w:pos="540"/>
      </w:tabs>
      <w:overflowPunct w:val="true"/>
      <w:autoSpaceDE w:val="true"/>
      <w:spacing w:before="100" w:after="100"/>
      <w:jc w:val="center"/>
      <w:textAlignment w:val="center"/>
    </w:pPr>
    <w:rPr>
      <w:rFonts w:ascii="Arial Unicode MS" w:hAnsi="Arial Unicode MS" w:eastAsia="Arial Unicode MS" w:cs="Arial Unicode MS"/>
      <w:szCs w:val="24"/>
    </w:rPr>
  </w:style>
  <w:style w:type="paragraph" w:styleId="xl39">
    <w:name w:val="xl39"/>
    <w:basedOn w:val="Normal"/>
    <w:qFormat/>
    <w:pPr>
      <w:pBdr>
        <w:top w:val="single" w:sz="8" w:space="0" w:color="000000"/>
        <w:bottom w:val="single" w:sz="8" w:space="0" w:color="000000"/>
        <w:right w:val="single" w:sz="8" w:space="0" w:color="000000"/>
      </w:pBdr>
      <w:shd w:fill="FFFFFF" w:val="clear"/>
      <w:tabs>
        <w:tab w:val="clear" w:pos="540"/>
      </w:tabs>
      <w:overflowPunct w:val="true"/>
      <w:autoSpaceDE w:val="true"/>
      <w:spacing w:before="100" w:after="100"/>
      <w:jc w:val="center"/>
      <w:textAlignment w:val="auto"/>
    </w:pPr>
    <w:rPr>
      <w:rFonts w:ascii="Arial Unicode MS" w:hAnsi="Arial Unicode MS" w:eastAsia="Arial Unicode MS" w:cs="Arial Unicode MS"/>
      <w:szCs w:val="24"/>
    </w:rPr>
  </w:style>
  <w:style w:type="paragraph" w:styleId="xl40">
    <w:name w:val="xl40"/>
    <w:basedOn w:val="Normal"/>
    <w:qFormat/>
    <w:pPr>
      <w:pBdr>
        <w:top w:val="single" w:sz="8" w:space="0" w:color="000000"/>
        <w:left w:val="single" w:sz="8" w:space="0" w:color="000000"/>
        <w:bottom w:val="single" w:sz="8" w:space="0" w:color="000000"/>
        <w:right w:val="single" w:sz="8" w:space="0" w:color="000000"/>
      </w:pBdr>
      <w:shd w:fill="FFFFFF" w:val="clea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xl41">
    <w:name w:val="xl41"/>
    <w:basedOn w:val="Normal"/>
    <w:qFormat/>
    <w:pPr>
      <w:pBdr>
        <w:top w:val="single" w:sz="8" w:space="0" w:color="000000"/>
        <w:left w:val="single" w:sz="8" w:space="0" w:color="000000"/>
        <w:right w:val="single" w:sz="8" w:space="0" w:color="000000"/>
      </w:pBdr>
      <w:shd w:fill="FFFFFF" w:val="clear"/>
      <w:tabs>
        <w:tab w:val="clear" w:pos="540"/>
      </w:tabs>
      <w:overflowPunct w:val="true"/>
      <w:autoSpaceDE w:val="true"/>
      <w:spacing w:before="100" w:after="100"/>
      <w:jc w:val="center"/>
      <w:textAlignment w:val="auto"/>
    </w:pPr>
    <w:rPr>
      <w:rFonts w:ascii="Arial Unicode MS" w:hAnsi="Arial Unicode MS" w:eastAsia="Arial Unicode MS" w:cs="Arial Unicode MS"/>
      <w:szCs w:val="24"/>
    </w:rPr>
  </w:style>
  <w:style w:type="paragraph" w:styleId="xl42">
    <w:name w:val="xl42"/>
    <w:basedOn w:val="Normal"/>
    <w:qFormat/>
    <w:pPr>
      <w:pBdr>
        <w:top w:val="single" w:sz="8" w:space="0" w:color="000000"/>
        <w:bottom w:val="single" w:sz="8" w:space="0" w:color="000000"/>
      </w:pBdr>
      <w:shd w:fill="FFFFFF" w:val="clear"/>
      <w:tabs>
        <w:tab w:val="clear" w:pos="540"/>
      </w:tabs>
      <w:overflowPunct w:val="true"/>
      <w:autoSpaceDE w:val="true"/>
      <w:spacing w:before="100" w:after="100"/>
      <w:jc w:val="center"/>
      <w:textAlignment w:val="auto"/>
    </w:pPr>
    <w:rPr>
      <w:rFonts w:ascii="Arial Unicode MS" w:hAnsi="Arial Unicode MS" w:eastAsia="Arial Unicode MS" w:cs="Arial Unicode MS"/>
      <w:szCs w:val="24"/>
    </w:rPr>
  </w:style>
  <w:style w:type="paragraph" w:styleId="xl43">
    <w:name w:val="xl43"/>
    <w:basedOn w:val="Normal"/>
    <w:qFormat/>
    <w:pPr>
      <w:pBdr>
        <w:top w:val="single" w:sz="8" w:space="0" w:color="000000"/>
        <w:left w:val="single" w:sz="8" w:space="0" w:color="000000"/>
        <w:bottom w:val="single" w:sz="8" w:space="0" w:color="000000"/>
        <w:right w:val="single" w:sz="8" w:space="0" w:color="000000"/>
      </w:pBdr>
      <w:shd w:fill="FFFFFF" w:val="clear"/>
      <w:tabs>
        <w:tab w:val="clear" w:pos="540"/>
      </w:tabs>
      <w:overflowPunct w:val="true"/>
      <w:autoSpaceDE w:val="true"/>
      <w:spacing w:before="100" w:after="100"/>
      <w:jc w:val="center"/>
      <w:textAlignment w:val="auto"/>
    </w:pPr>
    <w:rPr>
      <w:rFonts w:ascii="Arial Unicode MS" w:hAnsi="Arial Unicode MS" w:eastAsia="Arial Unicode MS" w:cs="Arial Unicode MS"/>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2001-11-09T15:04:00Z</dcterms:created>
  <dc:creator>lori poffenroth</dc:creator>
  <dc:description/>
  <dc:language>en-CA</dc:language>
  <cp:lastModifiedBy>lori poffenroth</cp:lastModifiedBy>
  <cp:lastPrinted>2001-11-15T11:04:00Z</cp:lastPrinted>
  <dcterms:modified xsi:type="dcterms:W3CDTF">2001-11-15T15:34:00Z</dcterms:modified>
  <cp:revision>7</cp:revision>
  <dc:subject/>
  <dc:title>Better, Faster, Simpler Memo </dc:title>
</cp:coreProperties>
</file>