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TMLPreformatted"/>
        <w:rPr/>
      </w:pPr>
      <w:r>
        <w:rPr/>
        <w:t xml:space="preserve">07:33am EDT 15-Aug-01 Prudential Securities (C.COALE 713-646-5433) ENE </w:t>
      </w:r>
    </w:p>
    <w:p>
      <w:pPr>
        <w:pStyle w:val="HTMLPreformatted"/>
        <w:rPr/>
      </w:pPr>
      <w:r>
        <w:rPr/>
        <w:t>ENE: CEO SKILLING RESIGNS</w:t>
      </w:r>
    </w:p>
    <w:p>
      <w:pPr>
        <w:pStyle w:val="HTMLPreformatted"/>
        <w:rPr/>
      </w:pPr>
      <w:r>
        <w:rPr/>
      </w:r>
    </w:p>
    <w:p>
      <w:pPr>
        <w:pStyle w:val="HTMLPreformatted"/>
        <w:rPr>
          <w:color w:val="800000"/>
        </w:rPr>
      </w:pPr>
      <w:r>
        <w:rPr>
          <w:color w:val="800000"/>
        </w:rPr>
        <w:t>ENE: CEO SKILLING RESIGNS</w:t>
      </w:r>
    </w:p>
    <w:p>
      <w:pPr>
        <w:pStyle w:val="HTMLPreformatted"/>
        <w:rPr/>
      </w:pPr>
      <w:r>
        <w:rPr/>
        <w:t>PRUDENTIAL SECURITIES                                   August 15, 2001</w:t>
      </w:r>
    </w:p>
    <w:p>
      <w:pPr>
        <w:pStyle w:val="HTMLPreformatted"/>
        <w:rPr/>
      </w:pPr>
      <w:r>
        <w:rPr/>
      </w:r>
    </w:p>
    <w:p>
      <w:pPr>
        <w:pStyle w:val="HTMLPreformatted"/>
        <w:rPr>
          <w:color w:val="800000"/>
        </w:rPr>
      </w:pPr>
      <w:r>
        <w:rPr>
          <w:color w:val="800000"/>
        </w:rPr>
        <w:t>Enron Corp (ENE - $42.15) -- NYSE</w:t>
      </w:r>
    </w:p>
    <w:p>
      <w:pPr>
        <w:pStyle w:val="HTMLPreformatted"/>
        <w:rPr>
          <w:color w:val="800000"/>
        </w:rPr>
      </w:pPr>
      <w:r>
        <w:rPr>
          <w:color w:val="800000"/>
        </w:rPr>
        <w:t>----- ANALYST(S) --------------------          -------- OPINION -------</w:t>
      </w:r>
    </w:p>
    <w:p>
      <w:pPr>
        <w:pStyle w:val="HTMLPreformatted"/>
        <w:rPr/>
      </w:pPr>
      <w:r>
        <w:rPr/>
        <w:t xml:space="preserve">M. Carol Coale   713.646.5433                  Current: </w:t>
      </w:r>
      <w:r>
        <w:rPr>
          <w:color w:val="800000"/>
        </w:rPr>
        <w:t>Buy</w:t>
      </w:r>
    </w:p>
    <w:p>
      <w:pPr>
        <w:pStyle w:val="HTMLPreformatted"/>
        <w:rPr/>
      </w:pPr>
      <w:r>
        <w:rPr>
          <w:color w:val="800000"/>
        </w:rPr>
        <w:t xml:space="preserve">                                                  </w:t>
      </w:r>
      <w:r>
        <w:rPr/>
        <w:t xml:space="preserve">Risk: </w:t>
      </w:r>
      <w:r>
        <w:rPr>
          <w:color w:val="800000"/>
        </w:rPr>
        <w:t>Moderate</w:t>
      </w:r>
    </w:p>
    <w:p>
      <w:pPr>
        <w:pStyle w:val="HTMLPreformatted"/>
        <w:rPr/>
      </w:pPr>
      <w:r>
        <w:rPr>
          <w:color w:val="800000"/>
        </w:rPr>
        <w:t xml:space="preserve">                                                </w:t>
      </w:r>
      <w:r>
        <w:rPr/>
        <w:t xml:space="preserve">Target: </w:t>
      </w:r>
      <w:r>
        <w:rPr>
          <w:color w:val="800000"/>
        </w:rPr>
        <w:t>$55.00</w:t>
      </w:r>
    </w:p>
    <w:p>
      <w:pPr>
        <w:pStyle w:val="HTMLPreformatted"/>
        <w:rPr/>
      </w:pPr>
      <w:r>
        <w:rPr>
          <w:color w:val="800000"/>
        </w:rPr>
        <w:t xml:space="preserve">                                              </w:t>
      </w:r>
      <w:r>
        <w:rPr/>
        <w:t xml:space="preserve">Industry: </w:t>
      </w:r>
      <w:r>
        <w:rPr>
          <w:color w:val="800000"/>
        </w:rPr>
        <w:t>Market Outperform</w:t>
      </w:r>
    </w:p>
    <w:p>
      <w:pPr>
        <w:pStyle w:val="HTMLPreformatted"/>
        <w:rPr>
          <w:color w:val="800000"/>
        </w:rPr>
      </w:pPr>
      <w:r>
        <w:rPr>
          <w:color w:val="800000"/>
        </w:rPr>
      </w:r>
    </w:p>
    <w:p>
      <w:pPr>
        <w:pStyle w:val="HTMLPreformatted"/>
        <w:rPr>
          <w:color w:val="800000"/>
        </w:rPr>
      </w:pPr>
      <w:r>
        <w:rPr>
          <w:color w:val="800000"/>
        </w:rPr>
        <w:t>The senior analyst(s) does not have a material position in any of the stocks</w:t>
      </w:r>
    </w:p>
    <w:p>
      <w:pPr>
        <w:pStyle w:val="HTMLPreformatted"/>
        <w:rPr>
          <w:color w:val="800000"/>
        </w:rPr>
      </w:pPr>
      <w:r>
        <w:rPr>
          <w:color w:val="800000"/>
        </w:rPr>
        <w:t>mentioned in this report.*</w:t>
      </w:r>
    </w:p>
    <w:p>
      <w:pPr>
        <w:pStyle w:val="HTMLPreformatted"/>
        <w:rPr>
          <w:color w:val="800000"/>
        </w:rPr>
      </w:pPr>
      <w:r>
        <w:rPr>
          <w:color w:val="800000"/>
        </w:rPr>
        <w:t>----- EARNINGS ------------------------------------------------------------</w:t>
      </w:r>
    </w:p>
    <w:p>
      <w:pPr>
        <w:pStyle w:val="HTMLPreformatted"/>
        <w:rPr>
          <w:color w:val="800000"/>
        </w:rPr>
      </w:pPr>
      <w:r>
        <w:rPr>
          <w:color w:val="800000"/>
        </w:rPr>
        <w:t xml:space="preserve">            </w:t>
      </w:r>
      <w:r>
        <w:rPr>
          <w:color w:val="800000"/>
        </w:rPr>
        <w:t>FY         EPS       P/E      1Q        2Q        3Q      4Q</w:t>
      </w:r>
    </w:p>
    <w:p>
      <w:pPr>
        <w:pStyle w:val="HTMLPreformatted"/>
        <w:rPr/>
      </w:pPr>
      <w:r>
        <w:rPr/>
        <w:t>Actual   12/00      $1.47A     28.7X    $0.40A    $0.34A    $0.34A  $0.41A</w:t>
      </w:r>
    </w:p>
    <w:p>
      <w:pPr>
        <w:pStyle w:val="HTMLPreformatted"/>
        <w:rPr/>
      </w:pPr>
      <w:r>
        <w:rPr/>
      </w:r>
    </w:p>
    <w:p>
      <w:pPr>
        <w:pStyle w:val="HTMLPreformatted"/>
        <w:rPr>
          <w:color w:val="800000"/>
        </w:rPr>
      </w:pPr>
      <w:r>
        <w:rPr>
          <w:color w:val="800000"/>
        </w:rPr>
        <w:t>Current  12/01      $1.82E     23.2X    $0.47A    $0.45A</w:t>
      </w:r>
    </w:p>
    <w:p>
      <w:pPr>
        <w:pStyle w:val="HTMLPreformatted"/>
        <w:rPr>
          <w:color w:val="800000"/>
        </w:rPr>
      </w:pPr>
      <w:r>
        <w:rPr>
          <w:color w:val="800000"/>
        </w:rPr>
        <w:t>Current  12/02      $2.12E     19.9X</w:t>
      </w:r>
    </w:p>
    <w:p>
      <w:pPr>
        <w:pStyle w:val="HTMLPreformatted"/>
        <w:rPr>
          <w:color w:val="800000"/>
        </w:rPr>
      </w:pPr>
      <w:r>
        <w:rPr>
          <w:color w:val="800000"/>
        </w:rPr>
        <w:t>----- FUNDAMENTAL --------------------------------------------------------</w:t>
      </w:r>
    </w:p>
    <w:p>
      <w:pPr>
        <w:pStyle w:val="HTMLPreformatted"/>
        <w:rPr/>
      </w:pPr>
      <w:r>
        <w:rPr>
          <w:color w:val="800000"/>
        </w:rPr>
        <w:t xml:space="preserve">  </w:t>
      </w:r>
      <w:r>
        <w:rPr/>
        <w:t xml:space="preserve">Avg. Volume: </w:t>
      </w:r>
      <w:r>
        <w:rPr>
          <w:color w:val="800000"/>
        </w:rPr>
        <w:t xml:space="preserve">3,500,000   </w:t>
      </w:r>
      <w:r>
        <w:rPr/>
        <w:t xml:space="preserve">Div/Yield: </w:t>
      </w:r>
      <w:r>
        <w:rPr>
          <w:color w:val="800000"/>
        </w:rPr>
        <w:t xml:space="preserve">0.50/1.18%        </w:t>
      </w:r>
      <w:r>
        <w:rPr/>
        <w:t xml:space="preserve">EPS Growth: </w:t>
      </w:r>
      <w:r>
        <w:rPr>
          <w:color w:val="800000"/>
        </w:rPr>
        <w:t>12.00%</w:t>
      </w:r>
    </w:p>
    <w:p>
      <w:pPr>
        <w:pStyle w:val="HTMLPreformatted"/>
        <w:rPr/>
      </w:pPr>
      <w:r>
        <w:rPr>
          <w:color w:val="800000"/>
        </w:rPr>
        <w:t xml:space="preserve">   </w:t>
      </w:r>
      <w:r>
        <w:rPr/>
        <w:t xml:space="preserve">Market Cap: </w:t>
      </w:r>
      <w:r>
        <w:rPr>
          <w:color w:val="800000"/>
        </w:rPr>
        <w:t xml:space="preserve">$31,569 </w:t>
      </w:r>
      <w:r>
        <w:rPr/>
        <w:t xml:space="preserve">m   52w Range: </w:t>
      </w:r>
      <w:r>
        <w:rPr>
          <w:color w:val="800000"/>
        </w:rPr>
        <w:t xml:space="preserve">90.80-42.00     </w:t>
      </w:r>
      <w:r>
        <w:rPr/>
        <w:t xml:space="preserve">P/E / Growth: </w:t>
      </w:r>
      <w:r>
        <w:rPr>
          <w:color w:val="800000"/>
        </w:rPr>
        <w:t>1.9x</w:t>
      </w:r>
    </w:p>
    <w:p>
      <w:pPr>
        <w:pStyle w:val="HTMLPreformatted"/>
        <w:rPr/>
      </w:pPr>
      <w:r>
        <w:rPr>
          <w:color w:val="800000"/>
        </w:rPr>
        <w:t xml:space="preserve">       </w:t>
      </w:r>
      <w:r>
        <w:rPr/>
        <w:t xml:space="preserve">Shares: </w:t>
      </w:r>
      <w:r>
        <w:rPr>
          <w:color w:val="800000"/>
        </w:rPr>
        <w:t xml:space="preserve">748.97 </w:t>
      </w:r>
      <w:r>
        <w:rPr/>
        <w:t>m</w:t>
      </w:r>
    </w:p>
    <w:p>
      <w:pPr>
        <w:pStyle w:val="HTMLPreformatted"/>
        <w:rPr>
          <w:color w:val="800000"/>
        </w:rPr>
      </w:pPr>
      <w:r>
        <w:rPr>
          <w:color w:val="800000"/>
        </w:rPr>
        <w:t>----- BUSINESS -----------------------------------------------------------</w:t>
      </w:r>
    </w:p>
    <w:p>
      <w:pPr>
        <w:pStyle w:val="HTMLPreformatted"/>
        <w:rPr/>
      </w:pPr>
      <w:r>
        <w:rPr/>
        <w:t>Enron Corp (ENE), headquartered in Houston, TX, is a market leader in the</w:t>
      </w:r>
    </w:p>
    <w:p>
      <w:pPr>
        <w:pStyle w:val="HTMLPreformatted"/>
        <w:rPr/>
      </w:pPr>
      <w:r>
        <w:rPr/>
        <w:t>marketing, trading and delivery of wholesale natural gas, electricity, bandwidth</w:t>
      </w:r>
    </w:p>
    <w:p>
      <w:pPr>
        <w:pStyle w:val="HTMLPreformatted"/>
        <w:rPr/>
      </w:pPr>
      <w:r>
        <w:rPr/>
        <w:t>capacity and other products and services in North America and Western Europe,</w:t>
      </w:r>
    </w:p>
    <w:p>
      <w:pPr>
        <w:pStyle w:val="HTMLPreformatted"/>
        <w:rPr/>
      </w:pPr>
      <w:r>
        <w:rPr/>
        <w:t>and it provides retail energy services to domestic and international customers.</w:t>
      </w:r>
    </w:p>
    <w:p>
      <w:pPr>
        <w:pStyle w:val="HTMLPreformatted"/>
        <w:rPr/>
      </w:pPr>
      <w:r>
        <w:rPr/>
        <w:t>ENE also owns and operates one of the largest interstate gas transmission</w:t>
      </w:r>
    </w:p>
    <w:p>
      <w:pPr>
        <w:pStyle w:val="HTMLPreformatted"/>
        <w:rPr/>
      </w:pPr>
      <w:r>
        <w:rPr/>
        <w:t>systems in North America, and develops and owns international power, pipeline</w:t>
      </w:r>
    </w:p>
    <w:p>
      <w:pPr>
        <w:pStyle w:val="HTMLPreformatted"/>
        <w:rPr/>
      </w:pPr>
      <w:r>
        <w:rPr/>
        <w:t>and distribution projects primarily in Latin America and Asia.</w:t>
      </w:r>
    </w:p>
    <w:p>
      <w:pPr>
        <w:pStyle w:val="HTMLPreformatted"/>
        <w:rPr>
          <w:color w:val="800000"/>
        </w:rPr>
      </w:pPr>
      <w:r>
        <w:rPr>
          <w:color w:val="800000"/>
        </w:rPr>
        <w:t>----- HIGHLIGHTS ----------------------------------------------------------</w:t>
      </w:r>
    </w:p>
    <w:p>
      <w:pPr>
        <w:pStyle w:val="HTMLPreformatted"/>
        <w:rPr/>
      </w:pPr>
      <w:r>
        <w:rPr/>
        <w:t>*    CEO Jeff Skilling resigned abruptly, possibly under pressure, following a</w:t>
      </w:r>
    </w:p>
    <w:p>
      <w:pPr>
        <w:pStyle w:val="HTMLPreformatted"/>
        <w:rPr/>
      </w:pPr>
      <w:r>
        <w:rPr/>
        <w:t>sharp decline in the stock this year and resignations of other senior executives</w:t>
      </w:r>
    </w:p>
    <w:p>
      <w:pPr>
        <w:pStyle w:val="HTMLPreformatted"/>
        <w:rPr/>
      </w:pPr>
      <w:r>
        <w:rPr/>
        <w:t>that were part of the original Skilling "dream team".</w:t>
      </w:r>
    </w:p>
    <w:p>
      <w:pPr>
        <w:pStyle w:val="HTMLPreformatted"/>
        <w:rPr/>
      </w:pPr>
      <w:r>
        <w:rPr/>
        <w:t>*    Skilling gives reasons as "personal", but we think this is odd, given his</w:t>
      </w:r>
    </w:p>
    <w:p>
      <w:pPr>
        <w:pStyle w:val="HTMLPreformatted"/>
        <w:rPr/>
      </w:pPr>
      <w:r>
        <w:rPr/>
        <w:t>recent engagement to be married and the completion of construction on a 10,000</w:t>
      </w:r>
    </w:p>
    <w:p>
      <w:pPr>
        <w:pStyle w:val="HTMLPreformatted"/>
        <w:rPr/>
      </w:pPr>
      <w:r>
        <w:rPr/>
        <w:t>square foot Houston home.</w:t>
      </w:r>
    </w:p>
    <w:p>
      <w:pPr>
        <w:pStyle w:val="HTMLPreformatted"/>
        <w:rPr/>
      </w:pPr>
      <w:r>
        <w:rPr/>
        <w:t>*    With his voluntary resignation, Skilling also gives up a severance package</w:t>
      </w:r>
    </w:p>
    <w:p>
      <w:pPr>
        <w:pStyle w:val="HTMLPreformatted"/>
        <w:rPr/>
      </w:pPr>
      <w:r>
        <w:rPr/>
        <w:t>valued at up to $35 million, including unexercisiable options and unforgivable</w:t>
      </w:r>
    </w:p>
    <w:p>
      <w:pPr>
        <w:pStyle w:val="HTMLPreformatted"/>
        <w:rPr/>
      </w:pPr>
      <w:r>
        <w:rPr/>
        <w:t>loan balances.</w:t>
      </w:r>
    </w:p>
    <w:p>
      <w:pPr>
        <w:pStyle w:val="HTMLPreformatted"/>
        <w:rPr/>
      </w:pPr>
      <w:r>
        <w:rPr/>
        <w:t>*    As an innovative (and controversial) thinker in the energy industry</w:t>
      </w:r>
    </w:p>
    <w:p>
      <w:pPr>
        <w:pStyle w:val="HTMLPreformatted"/>
        <w:rPr/>
      </w:pPr>
      <w:r>
        <w:rPr/>
        <w:t>(pioneering marketing/trading, electricity restructuring &amp; broadband opps),</w:t>
      </w:r>
    </w:p>
    <w:p>
      <w:pPr>
        <w:pStyle w:val="HTMLPreformatted"/>
        <w:rPr/>
      </w:pPr>
      <w:r>
        <w:rPr/>
        <w:t>Skilling's departure is likely to have broad repercussions.  Not only is the</w:t>
      </w:r>
    </w:p>
    <w:p>
      <w:pPr>
        <w:pStyle w:val="HTMLPreformatted"/>
        <w:rPr/>
      </w:pPr>
      <w:r>
        <w:rPr/>
        <w:t>entire gas/power group likely to sell-off following his resignation</w:t>
      </w:r>
    </w:p>
    <w:p>
      <w:pPr>
        <w:pStyle w:val="HTMLPreformatted"/>
        <w:rPr/>
      </w:pPr>
      <w:r>
        <w:rPr/>
        <w:t>announcement, but the premium multiple is likely to deteriorate.</w:t>
      </w:r>
    </w:p>
    <w:p>
      <w:pPr>
        <w:pStyle w:val="HTMLPreformatted"/>
        <w:rPr/>
      </w:pPr>
      <w:r>
        <w:rPr/>
        <w:t>*    We will be reviewing our rating and model after our 1:1 lunch meeting today</w:t>
      </w:r>
    </w:p>
    <w:p>
      <w:pPr>
        <w:pStyle w:val="HTMLPreformatted"/>
        <w:rPr/>
      </w:pPr>
      <w:r>
        <w:rPr/>
        <w:t>8/15/01 with Ken Lay, now serving as Chmn and CEO, but we would caution</w:t>
      </w:r>
    </w:p>
    <w:p>
      <w:pPr>
        <w:pStyle w:val="HTMLPreformatted"/>
        <w:rPr/>
      </w:pPr>
      <w:r>
        <w:rPr/>
        <w:t>investors on the open.</w:t>
      </w:r>
    </w:p>
    <w:p>
      <w:pPr>
        <w:pStyle w:val="HTMLPreformatted"/>
        <w:rPr>
          <w:color w:val="800000"/>
        </w:rPr>
      </w:pPr>
      <w:r>
        <w:rPr>
          <w:color w:val="800000"/>
        </w:rPr>
        <w:t>----- DISCUSSION ----------------------------------------------------------</w:t>
      </w:r>
    </w:p>
    <w:p>
      <w:pPr>
        <w:pStyle w:val="HTMLPreformatted"/>
        <w:rPr/>
      </w:pPr>
      <w:r>
        <w:rPr/>
        <w:t>We have seen this coming.  The resignation of Enron's CEO, Jeff Skilling follows</w:t>
      </w:r>
    </w:p>
    <w:p>
      <w:pPr>
        <w:pStyle w:val="HTMLPreformatted"/>
        <w:rPr/>
      </w:pPr>
      <w:r>
        <w:rPr/>
        <w:t>the departure earlier this year of two other senior executives (Lou Pai, Cliff</w:t>
      </w:r>
    </w:p>
    <w:p>
      <w:pPr>
        <w:pStyle w:val="HTMLPreformatted"/>
        <w:rPr/>
      </w:pPr>
      <w:r>
        <w:rPr/>
        <w:t>Baxter) and the expected resignation of Ken Rice, which may be signaling that</w:t>
      </w:r>
    </w:p>
    <w:p>
      <w:pPr>
        <w:pStyle w:val="HTMLPreformatted"/>
        <w:rPr/>
      </w:pPr>
      <w:r>
        <w:rPr/>
        <w:t>something is wrong at Enron.  All original members of the Skilling "dream team",</w:t>
      </w:r>
    </w:p>
    <w:p>
      <w:pPr>
        <w:pStyle w:val="HTMLPreformatted"/>
        <w:rPr/>
      </w:pPr>
      <w:r>
        <w:rPr/>
        <w:t>Lou Pai once co-headed the wholesale unit (then known as Enron Capital &amp; Trade)</w:t>
      </w:r>
    </w:p>
    <w:p>
      <w:pPr>
        <w:pStyle w:val="HTMLPreformatted"/>
        <w:rPr/>
      </w:pPr>
      <w:r>
        <w:rPr/>
        <w:t>with Jeff Skilling, before moving on to head up the retail effort at Energy</w:t>
      </w:r>
    </w:p>
    <w:p>
      <w:pPr>
        <w:pStyle w:val="HTMLPreformatted"/>
        <w:rPr/>
      </w:pPr>
      <w:r>
        <w:rPr/>
        <w:t>Services.  Ken Rice also co-headed ECT, and later moved into Broadband, and</w:t>
      </w:r>
    </w:p>
    <w:p>
      <w:pPr>
        <w:pStyle w:val="HTMLPreformatted"/>
        <w:rPr/>
      </w:pPr>
      <w:r>
        <w:rPr/>
        <w:t>Baxter served briefly as Executive Vice President.  Skilling's resignation</w:t>
      </w:r>
    </w:p>
    <w:p>
      <w:pPr>
        <w:pStyle w:val="HTMLPreformatted"/>
        <w:rPr/>
      </w:pPr>
      <w:r>
        <w:rPr/>
        <w:t>leaves Wall Street with the question of "who's next?" or "what did these guys</w:t>
      </w:r>
    </w:p>
    <w:p>
      <w:pPr>
        <w:pStyle w:val="HTMLPreformatted"/>
        <w:rPr/>
      </w:pPr>
      <w:r>
        <w:rPr/>
        <w:t>see that we don't?".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>As we see it, the implications of Skilling's resignation on investor perception</w:t>
      </w:r>
    </w:p>
    <w:p>
      <w:pPr>
        <w:pStyle w:val="HTMLPreformatted"/>
        <w:rPr/>
      </w:pPr>
      <w:r>
        <w:rPr/>
        <w:t>are as follows:</w:t>
      </w:r>
    </w:p>
    <w:p>
      <w:pPr>
        <w:pStyle w:val="HTMLPreformatted"/>
        <w:rPr/>
      </w:pPr>
      <w:r>
        <w:rPr/>
        <w:t>*     His departure, along with the other executives, could signal a negative</w:t>
      </w:r>
    </w:p>
    <w:p>
      <w:pPr>
        <w:pStyle w:val="HTMLPreformatted"/>
        <w:rPr/>
      </w:pPr>
      <w:r>
        <w:rPr/>
        <w:t>outlook for the company.</w:t>
      </w:r>
    </w:p>
    <w:p>
      <w:pPr>
        <w:pStyle w:val="HTMLPreformatted"/>
        <w:rPr/>
      </w:pPr>
      <w:r>
        <w:rPr/>
        <w:t>*     As a leader in the wholesale energy industry, ENE's problems could affect</w:t>
      </w:r>
    </w:p>
    <w:p>
      <w:pPr>
        <w:pStyle w:val="HTMLPreformatted"/>
        <w:rPr/>
      </w:pPr>
      <w:r>
        <w:rPr/>
        <w:t>other peer companies</w:t>
      </w:r>
    </w:p>
    <w:p>
      <w:pPr>
        <w:pStyle w:val="HTMLPreformatted"/>
        <w:rPr/>
      </w:pPr>
      <w:r>
        <w:rPr/>
        <w:t>*     Turmoil at the top causes uncertainty and confusion.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>However, we believe that Skilling may have been under pressure because:</w:t>
      </w:r>
    </w:p>
    <w:p>
      <w:pPr>
        <w:pStyle w:val="HTMLPreformatted"/>
        <w:rPr/>
      </w:pPr>
      <w:r>
        <w:rPr/>
        <w:t>*     ENE's stock price has fallen to a greater degree than the market and peer</w:t>
      </w:r>
    </w:p>
    <w:p>
      <w:pPr>
        <w:pStyle w:val="HTMLPreformatted"/>
        <w:rPr/>
      </w:pPr>
      <w:r>
        <w:rPr/>
        <w:t>companies.</w:t>
      </w:r>
    </w:p>
    <w:p>
      <w:pPr>
        <w:pStyle w:val="HTMLPreformatted"/>
        <w:rPr/>
      </w:pPr>
      <w:r>
        <w:rPr/>
        <w:t>*     Skilling has recently made politically incorrect statements to investors</w:t>
      </w:r>
    </w:p>
    <w:p>
      <w:pPr>
        <w:pStyle w:val="HTMLPreformatted"/>
        <w:rPr/>
      </w:pPr>
      <w:r>
        <w:rPr/>
        <w:t>and the press.</w:t>
      </w:r>
    </w:p>
    <w:p>
      <w:pPr>
        <w:pStyle w:val="HTMLPreformatted"/>
        <w:rPr/>
      </w:pPr>
      <w:r>
        <w:rPr/>
        <w:t>*     Skilling's big push in broadband failed.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>At the second-quarter analyst meeting held in Houston just two weeks ago, we</w:t>
      </w:r>
    </w:p>
    <w:p>
      <w:pPr>
        <w:pStyle w:val="HTMLPreformatted"/>
        <w:rPr/>
      </w:pPr>
      <w:r>
        <w:rPr/>
        <w:t>publicly asked Skilling if "we should read more into" the recent bout of</w:t>
      </w:r>
    </w:p>
    <w:p>
      <w:pPr>
        <w:pStyle w:val="HTMLPreformatted"/>
        <w:rPr/>
      </w:pPr>
      <w:r>
        <w:rPr/>
        <w:t>resignations as our gut feeling at the time was that these executives were</w:t>
      </w:r>
    </w:p>
    <w:p>
      <w:pPr>
        <w:pStyle w:val="HTMLPreformatted"/>
        <w:rPr/>
      </w:pPr>
      <w:r>
        <w:rPr/>
        <w:t>seeing problems at the top.  As part of Skilling's entourage, we questioned</w:t>
      </w:r>
    </w:p>
    <w:p>
      <w:pPr>
        <w:pStyle w:val="HTMLPreformatted"/>
        <w:rPr/>
      </w:pPr>
      <w:r>
        <w:rPr/>
        <w:t>whether they chose to resign before their fate was chosen for them.  Skilling's</w:t>
      </w:r>
    </w:p>
    <w:p>
      <w:pPr>
        <w:pStyle w:val="HTMLPreformatted"/>
        <w:rPr/>
      </w:pPr>
      <w:r>
        <w:rPr/>
        <w:t>response was that the recent management changes were viewed as "positive" for</w:t>
      </w:r>
    </w:p>
    <w:p>
      <w:pPr>
        <w:pStyle w:val="HTMLPreformatted"/>
        <w:rPr/>
      </w:pPr>
      <w:r>
        <w:rPr/>
        <w:t>the company, and we were led to believe that there were "no more issues".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>In many respects, the timing of Skilling's departure also seems odd.  The</w:t>
      </w:r>
    </w:p>
    <w:p>
      <w:pPr>
        <w:pStyle w:val="HTMLPreformatted"/>
        <w:rPr/>
      </w:pPr>
      <w:r>
        <w:rPr/>
        <w:t>management changes are one issue.  Personal reasons are another.  Not wanting to</w:t>
      </w:r>
    </w:p>
    <w:p>
      <w:pPr>
        <w:pStyle w:val="HTMLPreformatted"/>
        <w:rPr/>
      </w:pPr>
      <w:r>
        <w:rPr/>
        <w:t>prejudge his personal affairs, we find that his resignation announcement is</w:t>
      </w:r>
    </w:p>
    <w:p>
      <w:pPr>
        <w:pStyle w:val="HTMLPreformatted"/>
        <w:rPr/>
      </w:pPr>
      <w:r>
        <w:rPr/>
        <w:t>oddly timed with his recent marital engagement to a fellow Enron executive.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>Also, we are concerned over the depth of management at Enron, and the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>less-obvious heir-apparent, which in our view, may be Greg Whaley (Enron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>Wholesale) or Dave Delaney (Enron Energy Services).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>As ENE's stock is likely to open at least 2-3 points lower in the upper $30s to</w:t>
      </w:r>
    </w:p>
    <w:p>
      <w:pPr>
        <w:pStyle w:val="HTMLPreformatted"/>
        <w:rPr/>
      </w:pPr>
      <w:r>
        <w:rPr/>
        <w:t>lower $40s range, we believe that a ratings change would not carry much weight</w:t>
      </w:r>
    </w:p>
    <w:p>
      <w:pPr>
        <w:pStyle w:val="HTMLPreformatted"/>
        <w:rPr/>
      </w:pPr>
      <w:r>
        <w:rPr/>
        <w:t>without a meeting with the company's management.  Thus, we have arranged a 1:1</w:t>
      </w:r>
    </w:p>
    <w:p>
      <w:pPr>
        <w:pStyle w:val="HTMLPreformatted"/>
        <w:rPr/>
      </w:pPr>
      <w:r>
        <w:rPr/>
        <w:t>lunch meeting with Ken Lay at 11:30 a.m., 8/15/01, to discuss the future of the</w:t>
      </w:r>
    </w:p>
    <w:p>
      <w:pPr>
        <w:pStyle w:val="HTMLPreformatted"/>
        <w:rPr/>
      </w:pPr>
      <w:r>
        <w:rPr/>
        <w:t>company.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>Prudential Securities Incorporated (or one of its affiliates or subsidiaries) or</w:t>
      </w:r>
    </w:p>
    <w:p>
      <w:pPr>
        <w:pStyle w:val="HTMLPreformatted"/>
        <w:rPr/>
      </w:pPr>
      <w:r>
        <w:rPr/>
        <w:t>its officers, directors, analysts, employees, agents, independent contractors,</w:t>
      </w:r>
    </w:p>
    <w:p>
      <w:pPr>
        <w:pStyle w:val="HTMLPreformatted"/>
        <w:rPr/>
      </w:pPr>
      <w:r>
        <w:rPr/>
        <w:t>or consultants may have positions in securities or commodities referred to</w:t>
      </w:r>
    </w:p>
    <w:p>
      <w:pPr>
        <w:pStyle w:val="HTMLPreformatted"/>
        <w:rPr/>
      </w:pPr>
      <w:r>
        <w:rPr/>
        <w:t>herein and may, as principal or agent, buy and sell such securities or</w:t>
      </w:r>
    </w:p>
    <w:p>
      <w:pPr>
        <w:pStyle w:val="HTMLPreformatted"/>
        <w:rPr/>
      </w:pPr>
      <w:r>
        <w:rPr/>
        <w:t>commodities.</w:t>
      </w:r>
    </w:p>
    <w:p>
      <w:pPr>
        <w:pStyle w:val="HTMLPreformatted"/>
        <w:rPr/>
      </w:pPr>
      <w:r>
        <w:rPr/>
        <w:t>Prudential Securities Incorporated and/or its affiliates or its subsidiaries</w:t>
      </w:r>
    </w:p>
    <w:p>
      <w:pPr>
        <w:pStyle w:val="HTMLPreformatted"/>
        <w:rPr/>
      </w:pPr>
      <w:r>
        <w:rPr/>
        <w:t>have managed or comanaged a public offering of securities for ENE.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>Any OTC-traded securities or non-U.S. companies mentioned in this report may not</w:t>
      </w:r>
    </w:p>
    <w:p>
      <w:pPr>
        <w:pStyle w:val="HTMLPreformatted"/>
        <w:rPr/>
      </w:pPr>
      <w:r>
        <w:rPr/>
        <w:t>be cleared for sale in all states.</w:t>
      </w:r>
    </w:p>
    <w:p>
      <w:pPr>
        <w:pStyle w:val="HTMLPreformatted"/>
        <w:rPr/>
      </w:pPr>
      <w:r>
        <w:rPr/>
        <w:t>* "Material" is defined as an equity or equity derivative position greater than</w:t>
      </w:r>
    </w:p>
    <w:p>
      <w:pPr>
        <w:pStyle w:val="HTMLPreformatted"/>
        <w:rPr/>
      </w:pPr>
      <w:r>
        <w:rPr/>
        <w:t>$10,000 in any of the senior analyst's or household member's account(s).</w:t>
      </w:r>
    </w:p>
    <w:p>
      <w:pPr>
        <w:pStyle w:val="HTMLPreformatted"/>
        <w:rPr/>
      </w:pPr>
      <w:r>
        <w:rPr/>
        <w:t>First Call Corporation, a Thomson Financial company.</w:t>
      </w:r>
    </w:p>
    <w:p>
      <w:pPr>
        <w:pStyle w:val="HTMLPreformatted"/>
        <w:rPr/>
      </w:pPr>
      <w:r>
        <w:rPr/>
        <w:t>All rights reserved.  888.558.2500</w:t>
      </w:r>
    </w:p>
    <w:p>
      <w:pPr>
        <w:pStyle w:val="HTMLPreformatted"/>
        <w:rPr/>
      </w:pPr>
      <w:r>
        <w:rPr/>
        <w:t>]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>EON</w:t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Unicode MS">
    <w:charset w:val="80"/>
    <w:family w:val="swiss"/>
    <w:pitch w:val="variable"/>
  </w:font>
  <w:font w:name="Tahoma"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800"/>
        </w:tabs>
        <w:ind w:start="180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/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Normal"/>
    <w:pPr>
      <w:ind w:hanging="360" w:start="360" w:end="0"/>
    </w:pPr>
    <w:rPr/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Arial Unicode MS" w:hAnsi="Arial Unicode MS" w:eastAsia="Arial Unicode MS" w:cs="Arial Unicode MS"/>
      <w:sz w:val="20"/>
      <w:szCs w:val="20"/>
    </w:rPr>
  </w:style>
  <w:style w:type="paragraph" w:styleId="BlockText">
    <w:name w:val="Block Text"/>
    <w:basedOn w:val="Normal"/>
    <w:qFormat/>
    <w:pPr>
      <w:spacing w:before="0" w:after="120"/>
      <w:ind w:hanging="0" w:start="1440" w:end="1440"/>
    </w:pPr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FirstIndent">
    <w:name w:val="Body Text First Indent"/>
    <w:basedOn w:val="BodyText"/>
    <w:qFormat/>
    <w:pPr>
      <w:ind w:firstLine="210" w:start="0" w:end="0"/>
    </w:pPr>
    <w:rPr/>
  </w:style>
  <w:style w:type="paragraph" w:styleId="BodyTextIndent">
    <w:name w:val="Body Text Indent"/>
    <w:basedOn w:val="Normal"/>
    <w:pPr>
      <w:spacing w:before="0" w:after="120"/>
      <w:ind w:hanging="0" w:start="360" w:end="0"/>
    </w:pPr>
    <w:rPr/>
  </w:style>
  <w:style w:type="paragraph" w:styleId="BodyTextFirstIndent2">
    <w:name w:val="Body Text First Indent 2"/>
    <w:basedOn w:val="BodyTextIndent"/>
    <w:qFormat/>
    <w:pPr>
      <w:ind w:firstLine="210" w:start="360" w:end="0"/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hanging="0" w:start="360" w:end="0"/>
    </w:pPr>
    <w:rPr/>
  </w:style>
  <w:style w:type="paragraph" w:styleId="BodyTextIndent3">
    <w:name w:val="Body Text Indent 3"/>
    <w:basedOn w:val="Normal"/>
    <w:qFormat/>
    <w:pPr>
      <w:spacing w:before="0" w:after="120"/>
      <w:ind w:hanging="0" w:start="360" w:end="0"/>
    </w:pPr>
    <w:rPr>
      <w:sz w:val="16"/>
      <w:szCs w:val="16"/>
    </w:rPr>
  </w:style>
  <w:style w:type="paragraph" w:styleId="Closing">
    <w:name w:val="Closing"/>
    <w:basedOn w:val="Normal"/>
    <w:qFormat/>
    <w:pPr>
      <w:ind w:hanging="0" w:start="4320" w:end="0"/>
    </w:pPr>
    <w:rPr/>
  </w:style>
  <w:style w:type="paragraph" w:styleId="CommentText">
    <w:name w:val="Comment Text"/>
    <w:basedOn w:val="Normal"/>
    <w:qFormat/>
    <w:pPr/>
    <w:rPr>
      <w:sz w:val="20"/>
      <w:szCs w:val="20"/>
    </w:rPr>
  </w:style>
  <w:style w:type="paragraph" w:styleId="Date">
    <w:name w:val="Date"/>
    <w:basedOn w:val="Normal"/>
    <w:next w:val="Normal"/>
    <w:qFormat/>
    <w:pPr/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E-mailSignature">
    <w:name w:val="E-mail Signature"/>
    <w:basedOn w:val="Normal"/>
    <w:qFormat/>
    <w:pPr/>
    <w:rPr/>
  </w:style>
  <w:style w:type="paragraph" w:styleId="EndnoteText">
    <w:name w:val="endnote text"/>
    <w:basedOn w:val="Normal"/>
    <w:pPr/>
    <w:rPr>
      <w:sz w:val="20"/>
      <w:szCs w:val="20"/>
    </w:rPr>
  </w:style>
  <w:style w:type="paragraph" w:styleId="EnvelopeAddress">
    <w:name w:val="envelope address"/>
    <w:basedOn w:val="Normal"/>
    <w:pPr>
      <w:ind w:hanging="0" w:start="2880" w:end="0"/>
    </w:pPr>
    <w:rPr>
      <w:rFonts w:ascii="Arial" w:hAnsi="Arial" w:cs="Arial"/>
    </w:rPr>
  </w:style>
  <w:style w:type="paragraph" w:styleId="EnvelopeReturn">
    <w:name w:val="envelope return"/>
    <w:basedOn w:val="Normal"/>
    <w:pPr/>
    <w:rPr>
      <w:rFonts w:ascii="Arial" w:hAnsi="Arial" w:cs="Arial"/>
      <w:sz w:val="20"/>
      <w:szCs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noteText">
    <w:name w:val="footnote text"/>
    <w:basedOn w:val="Normal"/>
    <w:pPr/>
    <w:rPr>
      <w:sz w:val="20"/>
      <w:szCs w:val="20"/>
    </w:rPr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TMLAddress">
    <w:name w:val="HTML Address"/>
    <w:basedOn w:val="Normal"/>
    <w:qFormat/>
    <w:pPr/>
    <w:rPr>
      <w:i/>
      <w:iCs/>
    </w:rPr>
  </w:style>
  <w:style w:type="paragraph" w:styleId="Index1">
    <w:name w:val="index 1"/>
    <w:basedOn w:val="Normal"/>
    <w:next w:val="Normal"/>
    <w:pPr>
      <w:ind w:hanging="240" w:start="240" w:end="0"/>
    </w:pPr>
    <w:rPr/>
  </w:style>
  <w:style w:type="paragraph" w:styleId="Index2">
    <w:name w:val="index 2"/>
    <w:basedOn w:val="Normal"/>
    <w:next w:val="Normal"/>
    <w:pPr>
      <w:ind w:hanging="240" w:start="480" w:end="0"/>
    </w:pPr>
    <w:rPr/>
  </w:style>
  <w:style w:type="paragraph" w:styleId="Index3">
    <w:name w:val="index 3"/>
    <w:basedOn w:val="Normal"/>
    <w:next w:val="Normal"/>
    <w:pPr>
      <w:ind w:hanging="240" w:start="720" w:end="0"/>
    </w:pPr>
    <w:rPr/>
  </w:style>
  <w:style w:type="paragraph" w:styleId="Index4">
    <w:name w:val="Index 4"/>
    <w:basedOn w:val="Normal"/>
    <w:next w:val="Normal"/>
    <w:qFormat/>
    <w:pPr>
      <w:ind w:hanging="240" w:start="960" w:end="0"/>
    </w:pPr>
    <w:rPr/>
  </w:style>
  <w:style w:type="paragraph" w:styleId="Index5">
    <w:name w:val="Index 5"/>
    <w:basedOn w:val="Normal"/>
    <w:next w:val="Normal"/>
    <w:qFormat/>
    <w:pPr>
      <w:ind w:hanging="240" w:start="1200" w:end="0"/>
    </w:pPr>
    <w:rPr/>
  </w:style>
  <w:style w:type="paragraph" w:styleId="Index6">
    <w:name w:val="Index 6"/>
    <w:basedOn w:val="Normal"/>
    <w:next w:val="Normal"/>
    <w:qFormat/>
    <w:pPr>
      <w:ind w:hanging="240" w:start="1440" w:end="0"/>
    </w:pPr>
    <w:rPr/>
  </w:style>
  <w:style w:type="paragraph" w:styleId="Index7">
    <w:name w:val="Index 7"/>
    <w:basedOn w:val="Normal"/>
    <w:next w:val="Normal"/>
    <w:qFormat/>
    <w:pPr>
      <w:ind w:hanging="240" w:start="1680" w:end="0"/>
    </w:pPr>
    <w:rPr/>
  </w:style>
  <w:style w:type="paragraph" w:styleId="Index8">
    <w:name w:val="Index 8"/>
    <w:basedOn w:val="Normal"/>
    <w:next w:val="Normal"/>
    <w:qFormat/>
    <w:pPr>
      <w:ind w:hanging="240" w:start="1920" w:end="0"/>
    </w:pPr>
    <w:rPr/>
  </w:style>
  <w:style w:type="paragraph" w:styleId="Index9">
    <w:name w:val="Index 9"/>
    <w:basedOn w:val="Normal"/>
    <w:next w:val="Normal"/>
    <w:qFormat/>
    <w:pPr>
      <w:ind w:hanging="240" w:start="2160" w:end="0"/>
    </w:pPr>
    <w:rPr/>
  </w:style>
  <w:style w:type="paragraph" w:styleId="IndexHeading">
    <w:name w:val="index heading"/>
    <w:basedOn w:val="Normal"/>
    <w:next w:val="Index1"/>
    <w:pPr/>
    <w:rPr>
      <w:rFonts w:ascii="Arial" w:hAnsi="Arial" w:cs="Arial"/>
      <w:b/>
      <w:bCs/>
    </w:rPr>
  </w:style>
  <w:style w:type="paragraph" w:styleId="ListBullet2">
    <w:name w:val="List Bullet 2"/>
    <w:basedOn w:val="Normal"/>
    <w:pPr>
      <w:ind w:hanging="360" w:start="720" w:end="0"/>
    </w:pPr>
    <w:rPr/>
  </w:style>
  <w:style w:type="paragraph" w:styleId="ListBullet3">
    <w:name w:val="List Bullet 3"/>
    <w:basedOn w:val="Normal"/>
    <w:pPr>
      <w:ind w:hanging="360" w:start="1080" w:end="0"/>
    </w:pPr>
    <w:rPr/>
  </w:style>
  <w:style w:type="paragraph" w:styleId="ListBullet4">
    <w:name w:val="List Bullet 4"/>
    <w:basedOn w:val="Normal"/>
    <w:pPr>
      <w:ind w:hanging="360" w:start="1440" w:end="0"/>
    </w:pPr>
    <w:rPr/>
  </w:style>
  <w:style w:type="paragraph" w:styleId="ListBullet5">
    <w:name w:val="List Bullet 5"/>
    <w:basedOn w:val="Normal"/>
    <w:pPr>
      <w:ind w:hanging="360" w:start="1800" w:end="0"/>
    </w:pPr>
    <w:rPr/>
  </w:style>
  <w:style w:type="paragraph" w:styleId="ListBullet">
    <w:name w:val="List Bullet"/>
    <w:basedOn w:val="Normal"/>
    <w:qFormat/>
    <w:pPr>
      <w:numPr>
        <w:ilvl w:val="0"/>
        <w:numId w:val="11"/>
      </w:numPr>
    </w:pPr>
    <w:rPr/>
  </w:style>
  <w:style w:type="paragraph" w:styleId="ListBullet21">
    <w:name w:val="List Bullet 21"/>
    <w:basedOn w:val="Normal"/>
    <w:qFormat/>
    <w:pPr>
      <w:numPr>
        <w:ilvl w:val="0"/>
        <w:numId w:val="9"/>
      </w:numPr>
    </w:pPr>
    <w:rPr/>
  </w:style>
  <w:style w:type="paragraph" w:styleId="ListBullet31">
    <w:name w:val="List Bullet 31"/>
    <w:basedOn w:val="Normal"/>
    <w:qFormat/>
    <w:pPr>
      <w:numPr>
        <w:ilvl w:val="0"/>
        <w:numId w:val="8"/>
      </w:numPr>
    </w:pPr>
    <w:rPr/>
  </w:style>
  <w:style w:type="paragraph" w:styleId="ListBullet41">
    <w:name w:val="List Bullet 41"/>
    <w:basedOn w:val="Normal"/>
    <w:qFormat/>
    <w:pPr>
      <w:numPr>
        <w:ilvl w:val="0"/>
        <w:numId w:val="7"/>
      </w:numPr>
    </w:pPr>
    <w:rPr/>
  </w:style>
  <w:style w:type="paragraph" w:styleId="ListBullet51">
    <w:name w:val="List Bullet 51"/>
    <w:basedOn w:val="Normal"/>
    <w:qFormat/>
    <w:pPr>
      <w:numPr>
        <w:ilvl w:val="0"/>
        <w:numId w:val="6"/>
      </w:numPr>
    </w:pPr>
    <w:rPr/>
  </w:style>
  <w:style w:type="paragraph" w:styleId="ListContinue">
    <w:name w:val="List Continue"/>
    <w:basedOn w:val="Normal"/>
    <w:qFormat/>
    <w:pPr>
      <w:spacing w:before="0" w:after="120"/>
      <w:ind w:hanging="0" w:start="360" w:end="0"/>
    </w:pPr>
    <w:rPr/>
  </w:style>
  <w:style w:type="paragraph" w:styleId="ListContinue2">
    <w:name w:val="List Continue 2"/>
    <w:basedOn w:val="Normal"/>
    <w:qFormat/>
    <w:pPr>
      <w:spacing w:before="0" w:after="120"/>
      <w:ind w:hanging="0" w:start="720" w:end="0"/>
    </w:pPr>
    <w:rPr/>
  </w:style>
  <w:style w:type="paragraph" w:styleId="ListContinue3">
    <w:name w:val="List Continue 3"/>
    <w:basedOn w:val="Normal"/>
    <w:qFormat/>
    <w:pPr>
      <w:spacing w:before="0" w:after="120"/>
      <w:ind w:hanging="0" w:start="1080" w:end="0"/>
    </w:pPr>
    <w:rPr/>
  </w:style>
  <w:style w:type="paragraph" w:styleId="ListContinue4">
    <w:name w:val="List Continue 4"/>
    <w:basedOn w:val="Normal"/>
    <w:qFormat/>
    <w:pPr>
      <w:spacing w:before="0" w:after="120"/>
      <w:ind w:hanging="0" w:start="1440" w:end="0"/>
    </w:pPr>
    <w:rPr/>
  </w:style>
  <w:style w:type="paragraph" w:styleId="ListContinue5">
    <w:name w:val="List Continue 5"/>
    <w:basedOn w:val="Normal"/>
    <w:qFormat/>
    <w:pPr>
      <w:spacing w:before="0" w:after="120"/>
      <w:ind w:hanging="0" w:start="1800" w:end="0"/>
    </w:pPr>
    <w:rPr/>
  </w:style>
  <w:style w:type="paragraph" w:styleId="ListNumber">
    <w:name w:val="List Number"/>
    <w:basedOn w:val="Normal"/>
    <w:qFormat/>
    <w:pPr>
      <w:numPr>
        <w:ilvl w:val="0"/>
        <w:numId w:val="10"/>
      </w:numPr>
    </w:pPr>
    <w:rPr/>
  </w:style>
  <w:style w:type="paragraph" w:styleId="ListNumber2">
    <w:name w:val="List Number 2"/>
    <w:basedOn w:val="Normal"/>
    <w:qFormat/>
    <w:pPr>
      <w:numPr>
        <w:ilvl w:val="0"/>
        <w:numId w:val="5"/>
      </w:numPr>
    </w:pPr>
    <w:rPr/>
  </w:style>
  <w:style w:type="paragraph" w:styleId="ListNumber3">
    <w:name w:val="List Number 3"/>
    <w:basedOn w:val="Normal"/>
    <w:qFormat/>
    <w:pPr>
      <w:numPr>
        <w:ilvl w:val="0"/>
        <w:numId w:val="4"/>
      </w:numPr>
    </w:pPr>
    <w:rPr/>
  </w:style>
  <w:style w:type="paragraph" w:styleId="ListNumber4">
    <w:name w:val="List Number 4"/>
    <w:basedOn w:val="Normal"/>
    <w:qFormat/>
    <w:pPr>
      <w:numPr>
        <w:ilvl w:val="0"/>
        <w:numId w:val="3"/>
      </w:numPr>
    </w:pPr>
    <w:rPr/>
  </w:style>
  <w:style w:type="paragraph" w:styleId="ListNumber5">
    <w:name w:val="List Number 5"/>
    <w:basedOn w:val="Normal"/>
    <w:qFormat/>
    <w:pPr>
      <w:numPr>
        <w:ilvl w:val="0"/>
        <w:numId w:val="2"/>
      </w:numPr>
    </w:pPr>
    <w:rPr/>
  </w:style>
  <w:style w:type="paragraph" w:styleId="MacroText">
    <w:name w:val="Macro Text"/>
    <w:qFormat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</w:pPr>
    <w:rPr>
      <w:rFonts w:ascii="Courier New" w:hAnsi="Courier New" w:eastAsia="Times New Roman" w:cs="Courier New"/>
      <w:color w:val="auto"/>
      <w:sz w:val="20"/>
      <w:szCs w:val="20"/>
      <w:lang w:val="en-US" w:bidi="ar-SA" w:eastAsia="zh-CN"/>
    </w:rPr>
  </w:style>
  <w:style w:type="paragraph" w:styleId="MessageHeader">
    <w:name w:val="Message Header"/>
    <w:basedOn w:val="Normal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fill="CCCCCC" w:val="clear"/>
      <w:ind w:hanging="1080" w:start="1080" w:end="0"/>
    </w:pPr>
    <w:rPr>
      <w:rFonts w:ascii="Arial" w:hAnsi="Arial" w:cs="Arial"/>
    </w:rPr>
  </w:style>
  <w:style w:type="paragraph" w:styleId="NormalWeb">
    <w:name w:val="Normal (Web)"/>
    <w:basedOn w:val="Normal"/>
    <w:qFormat/>
    <w:pPr/>
    <w:rPr/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NoteHeading">
    <w:name w:val="Note Heading"/>
    <w:basedOn w:val="Normal"/>
    <w:next w:val="Normal"/>
    <w:qFormat/>
    <w:pPr/>
    <w:rPr/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qFormat/>
    <w:pPr/>
    <w:rPr/>
  </w:style>
  <w:style w:type="paragraph" w:styleId="Signature">
    <w:name w:val="Signature"/>
    <w:basedOn w:val="Normal"/>
    <w:pPr>
      <w:ind w:hanging="0" w:start="4320" w:end="0"/>
    </w:pPr>
    <w:rPr/>
  </w:style>
  <w:style w:type="paragraph" w:styleId="Subtitle">
    <w:name w:val="Subtitle"/>
    <w:basedOn w:val="Normal"/>
    <w:next w:val="BodyText"/>
    <w:qFormat/>
    <w:pPr>
      <w:spacing w:before="0"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qFormat/>
    <w:pPr>
      <w:ind w:hanging="240" w:start="240" w:end="0"/>
    </w:pPr>
    <w:rPr/>
  </w:style>
  <w:style w:type="paragraph" w:styleId="TableofFigures">
    <w:name w:val="Table of Figures"/>
    <w:basedOn w:val="Normal"/>
    <w:next w:val="Normal"/>
    <w:qFormat/>
    <w:pPr>
      <w:ind w:hanging="480" w:start="480" w:end="0"/>
    </w:pPr>
    <w:rPr/>
  </w:style>
  <w:style w:type="paragraph" w:styleId="TOAHeading">
    <w:name w:val="TOA Heading"/>
    <w:basedOn w:val="Normal"/>
    <w:next w:val="Normal"/>
    <w:qFormat/>
    <w:pPr>
      <w:spacing w:before="120" w:after="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pPr/>
    <w:rPr/>
  </w:style>
  <w:style w:type="paragraph" w:styleId="TOC2">
    <w:name w:val="toc 2"/>
    <w:basedOn w:val="Normal"/>
    <w:next w:val="Normal"/>
    <w:pPr>
      <w:ind w:hanging="0" w:start="240" w:end="0"/>
    </w:pPr>
    <w:rPr/>
  </w:style>
  <w:style w:type="paragraph" w:styleId="TOC3">
    <w:name w:val="toc 3"/>
    <w:basedOn w:val="Normal"/>
    <w:next w:val="Normal"/>
    <w:pPr>
      <w:ind w:hanging="0" w:start="480" w:end="0"/>
    </w:pPr>
    <w:rPr/>
  </w:style>
  <w:style w:type="paragraph" w:styleId="TOC4">
    <w:name w:val="toc 4"/>
    <w:basedOn w:val="Normal"/>
    <w:next w:val="Normal"/>
    <w:pPr>
      <w:ind w:hanging="0" w:start="720" w:end="0"/>
    </w:pPr>
    <w:rPr/>
  </w:style>
  <w:style w:type="paragraph" w:styleId="TOC5">
    <w:name w:val="toc 5"/>
    <w:basedOn w:val="Normal"/>
    <w:next w:val="Normal"/>
    <w:pPr>
      <w:ind w:hanging="0" w:start="960" w:end="0"/>
    </w:pPr>
    <w:rPr/>
  </w:style>
  <w:style w:type="paragraph" w:styleId="TOC6">
    <w:name w:val="toc 6"/>
    <w:basedOn w:val="Normal"/>
    <w:next w:val="Normal"/>
    <w:pPr>
      <w:ind w:hanging="0" w:start="1200" w:end="0"/>
    </w:pPr>
    <w:rPr/>
  </w:style>
  <w:style w:type="paragraph" w:styleId="TOC7">
    <w:name w:val="toc 7"/>
    <w:basedOn w:val="Normal"/>
    <w:next w:val="Normal"/>
    <w:pPr>
      <w:ind w:hanging="0" w:start="1440" w:end="0"/>
    </w:pPr>
    <w:rPr/>
  </w:style>
  <w:style w:type="paragraph" w:styleId="TOC8">
    <w:name w:val="toc 8"/>
    <w:basedOn w:val="Normal"/>
    <w:next w:val="Normal"/>
    <w:pPr>
      <w:ind w:hanging="0" w:start="1680" w:end="0"/>
    </w:pPr>
    <w:rPr/>
  </w:style>
  <w:style w:type="paragraph" w:styleId="TOC9">
    <w:name w:val="toc 9"/>
    <w:basedOn w:val="Normal"/>
    <w:next w:val="Normal"/>
    <w:pPr>
      <w:ind w:hanging="0" w:start="1920" w:end="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2001-08-15T11:11:00Z</dcterms:created>
  <dc:creator>gpenman</dc:creator>
  <dc:description/>
  <dc:language>en-CA</dc:language>
  <cp:lastModifiedBy>gpenman</cp:lastModifiedBy>
  <dcterms:modified xsi:type="dcterms:W3CDTF">2001-08-15T11:11:00Z</dcterms:modified>
  <cp:revision>2</cp:revision>
  <dc:subject/>
  <dc:title>07:33am EDT 15-Aug-01 Prudential Securities (C</dc:title>
</cp:coreProperties>
</file>