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Prudency Policy</w:t>
      </w:r>
      <w:r>
        <mc:AlternateContent>
          <mc:Choice Requires="wps">
            <w:drawing>
              <wp:anchor behindDoc="0" distT="0" distB="0" distL="114935" distR="114935" simplePos="0" locked="0" layoutInCell="1" allowOverlap="1" relativeHeight="6">
                <wp:simplePos x="0" y="0"/>
                <wp:positionH relativeFrom="column">
                  <wp:posOffset>4567555</wp:posOffset>
                </wp:positionH>
                <wp:positionV relativeFrom="paragraph">
                  <wp:posOffset>-461645</wp:posOffset>
                </wp:positionV>
                <wp:extent cx="1837690" cy="466090"/>
                <wp:effectExtent l="0" t="0" r="0" b="0"/>
                <wp:wrapNone/>
                <wp:docPr id="1" name="Frame1"/>
                <a:graphic xmlns:a="http://schemas.openxmlformats.org/drawingml/2006/main">
                  <a:graphicData uri="http://schemas.microsoft.com/office/word/2010/wordprocessingShape">
                    <wps:wsp>
                      <wps:cNvSpPr txBox="1"/>
                      <wps:spPr>
                        <a:xfrm>
                          <a:off x="0" y="0"/>
                          <a:ext cx="1837690" cy="466090"/>
                        </a:xfrm>
                        <a:prstGeom prst="rect"/>
                        <a:solidFill>
                          <a:srgbClr val="FFFFFF"/>
                        </a:solidFill>
                        <a:ln w="9525">
                          <a:solidFill>
                            <a:srgbClr val="000000"/>
                          </a:solidFill>
                        </a:ln>
                      </wps:spPr>
                      <wps:txbx>
                        <w:txbxContent>
                          <w:p>
                            <w:pPr>
                              <w:pStyle w:val="Normal"/>
                              <w:rPr>
                                <w:b/>
                                <w:sz w:val="40"/>
                              </w:rPr>
                            </w:pPr>
                            <w:r>
                              <w:rPr>
                                <w:b/>
                                <w:sz w:val="40"/>
                              </w:rPr>
                              <w:t xml:space="preserve">DRAFT 3/9/00 </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36.7pt;mso-wrap-distance-left:9.05pt;mso-wrap-distance-right:9.05pt;mso-wrap-distance-top:0pt;mso-wrap-distance-bottom:0pt;margin-top:-36.35pt;mso-position-vertical-relative:text;margin-left:359.65pt;mso-position-horizontal-relative:text">
                <v:textbox>
                  <w:txbxContent>
                    <w:p>
                      <w:pPr>
                        <w:pStyle w:val="Normal"/>
                        <w:rPr>
                          <w:b/>
                          <w:sz w:val="40"/>
                        </w:rPr>
                      </w:pPr>
                      <w:r>
                        <w:rPr>
                          <w:b/>
                          <w:sz w:val="40"/>
                        </w:rPr>
                        <w:t xml:space="preserve">DRAFT 3/9/00 </w:t>
                      </w:r>
                    </w:p>
                  </w:txbxContent>
                </v:textbox>
                <w10:wrap type="none"/>
              </v:rect>
            </w:pict>
          </mc:Fallback>
        </mc:AlternateContent>
      </w:r>
    </w:p>
    <w:p>
      <w:pPr>
        <w:pStyle w:val="Heading"/>
        <w:rPr>
          <w:sz w:val="28"/>
          <w:u w:val="none"/>
        </w:rPr>
      </w:pPr>
      <w:r>
        <w:rPr>
          <w:u w:val="none"/>
        </w:rPr>
        <w:t>Effective January 1, 2000</w:t>
      </w:r>
    </w:p>
    <w:p>
      <w:pPr>
        <w:pStyle w:val="Heading"/>
        <w:rPr>
          <w:sz w:val="24"/>
          <w:u w:val="none"/>
        </w:rPr>
      </w:pPr>
      <w:r>
        <w:rPr>
          <w:sz w:val="24"/>
          <w:u w:val="none"/>
        </w:rPr>
      </w:r>
    </w:p>
    <w:p>
      <w:pPr>
        <w:pStyle w:val="Normal"/>
        <w:tabs>
          <w:tab w:val="clear" w:pos="720"/>
          <w:tab w:val="left" w:pos="540" w:leader="none"/>
        </w:tabs>
        <w:rPr>
          <w:b/>
          <w:sz w:val="28"/>
        </w:rPr>
      </w:pPr>
      <w:r>
        <w:rPr>
          <w:b/>
          <w:sz w:val="28"/>
        </w:rPr>
        <w:t>Prudency has traditionally been defined to be a reserve that protects against orderly liquidations under present market conditions being significantly different than mark-to market amounts.  This policy will further define prudency to specifically relate to Liquidity Risk.  In determining the appropriate level of prudency, certain types of risks, primarily VAR and liquidity have traditionally been considered.  However, based on a review of disclosures and reserves for all market risks and a liquidity assessment for gas and power,  the following Prudency Policy is effective January 1, 2000.</w:t>
      </w:r>
    </w:p>
    <w:p>
      <w:pPr>
        <w:pStyle w:val="Heading"/>
        <w:jc w:val="start"/>
        <w:rPr>
          <w:b w:val="false"/>
          <w:sz w:val="28"/>
          <w:u w:val="none"/>
        </w:rPr>
      </w:pPr>
      <w:r>
        <w:rPr>
          <w:b w:val="false"/>
          <w:sz w:val="28"/>
          <w:u w:val="none"/>
        </w:rPr>
      </w:r>
    </w:p>
    <w:p>
      <w:pPr>
        <w:pStyle w:val="Heading"/>
        <w:jc w:val="start"/>
        <w:rPr>
          <w:sz w:val="28"/>
          <w:u w:val="none"/>
        </w:rPr>
      </w:pPr>
      <w:r>
        <w:rPr>
          <w:sz w:val="28"/>
          <w:u w:val="none"/>
        </w:rPr>
        <w:t>Enron North America:</w:t>
      </w:r>
    </w:p>
    <w:p>
      <w:pPr>
        <w:pStyle w:val="Heading"/>
        <w:jc w:val="start"/>
        <w:rPr>
          <w:sz w:val="28"/>
          <w:u w:val="none"/>
        </w:rPr>
      </w:pPr>
      <w:r>
        <w:rPr>
          <w:sz w:val="28"/>
          <w:u w:val="none"/>
        </w:rPr>
        <w:t>Gas Trading</w:t>
      </w:r>
    </w:p>
    <w:p>
      <w:pPr>
        <w:pStyle w:val="Heading"/>
        <w:jc w:val="start"/>
        <w:rPr>
          <w:b w:val="false"/>
          <w:sz w:val="28"/>
          <w:u w:val="none"/>
        </w:rPr>
      </w:pPr>
      <w:r>
        <w:rPr>
          <w:b w:val="false"/>
          <w:sz w:val="28"/>
          <w:u w:val="none"/>
        </w:rPr>
        <w:t>Long-Term</w:t>
      </w:r>
    </w:p>
    <w:p>
      <w:pPr>
        <w:pStyle w:val="Heading"/>
        <w:jc w:val="start"/>
        <w:rPr>
          <w:b w:val="false"/>
          <w:sz w:val="28"/>
          <w:u w:val="none"/>
        </w:rPr>
      </w:pPr>
      <w:r>
        <w:rPr>
          <w:b w:val="false"/>
          <w:sz w:val="28"/>
          <w:u w:val="none"/>
        </w:rPr>
        <w:t xml:space="preserve">Short-Term </w:t>
      </w:r>
    </w:p>
    <w:p>
      <w:pPr>
        <w:pStyle w:val="Heading"/>
        <w:jc w:val="start"/>
        <w:rPr>
          <w:b w:val="false"/>
          <w:sz w:val="28"/>
          <w:u w:val="none"/>
        </w:rPr>
      </w:pPr>
      <w:r>
        <w:rPr>
          <w:b w:val="false"/>
          <w:sz w:val="28"/>
          <w:u w:val="none"/>
        </w:rPr>
        <w:t>Canada</w:t>
      </w:r>
    </w:p>
    <w:p>
      <w:pPr>
        <w:pStyle w:val="Heading"/>
        <w:rPr>
          <w:i/>
          <w:i/>
          <w:sz w:val="24"/>
          <w:u w:val="none"/>
        </w:rPr>
      </w:pPr>
      <w:r>
        <w:rPr>
          <w:i/>
          <w:sz w:val="24"/>
          <w:u w:val="none"/>
        </w:rPr>
        <w:t>Prudency Reserve not required based on the level of liquidity for gas  in U.S. and Canadian markets.  (See separate documentation)</w:t>
      </w:r>
    </w:p>
    <w:p>
      <w:pPr>
        <w:pStyle w:val="Heading"/>
        <w:jc w:val="start"/>
        <w:rPr>
          <w:sz w:val="28"/>
          <w:u w:val="none"/>
        </w:rPr>
      </w:pPr>
      <w:r>
        <w:rPr>
          <w:sz w:val="28"/>
          <w:u w:val="none"/>
        </w:rPr>
        <w:t>Power Trading</w:t>
      </w:r>
    </w:p>
    <w:p>
      <w:pPr>
        <w:pStyle w:val="Heading"/>
        <w:jc w:val="start"/>
        <w:rPr>
          <w:b w:val="false"/>
          <w:sz w:val="28"/>
          <w:u w:val="none"/>
        </w:rPr>
      </w:pPr>
      <w:r>
        <w:rPr>
          <w:b w:val="false"/>
          <w:sz w:val="28"/>
          <w:u w:val="none"/>
        </w:rPr>
        <w:t>East Trading</w:t>
      </w:r>
    </w:p>
    <w:p>
      <w:pPr>
        <w:pStyle w:val="Heading"/>
        <w:jc w:val="start"/>
        <w:rPr>
          <w:b w:val="false"/>
          <w:sz w:val="28"/>
          <w:u w:val="none"/>
        </w:rPr>
      </w:pPr>
      <w:r>
        <w:rPr>
          <w:b w:val="false"/>
          <w:sz w:val="28"/>
          <w:u w:val="none"/>
        </w:rPr>
        <w:t>Genco</w:t>
      </w:r>
    </w:p>
    <w:p>
      <w:pPr>
        <w:pStyle w:val="Heading"/>
        <w:jc w:val="start"/>
        <w:rPr>
          <w:b w:val="false"/>
          <w:sz w:val="28"/>
          <w:u w:val="none"/>
        </w:rPr>
      </w:pPr>
      <w:r>
        <w:rPr>
          <w:b w:val="false"/>
          <w:sz w:val="28"/>
          <w:u w:val="none"/>
        </w:rPr>
        <w:t>West Trading</w:t>
      </w:r>
    </w:p>
    <w:p>
      <w:pPr>
        <w:pStyle w:val="Heading"/>
        <w:rPr>
          <w:i/>
          <w:i/>
          <w:sz w:val="24"/>
          <w:u w:val="none"/>
        </w:rPr>
      </w:pPr>
      <w:r>
        <w:rPr>
          <w:i/>
          <w:sz w:val="24"/>
          <w:u w:val="none"/>
        </w:rPr>
        <w:t xml:space="preserve">Prudency Reserve required for most positions in Power.  Should work with RAC to develop a standard prudency calculation for Power (This is currently available for the MTM positions).  Physical and financial positions relating to existing production assets, as well as the 2000 plants should be included.  Need to determine requirement for prudency at  Nepool, California and other locations with power pools/exchanges or other liquid trading points </w:t>
      </w:r>
    </w:p>
    <w:p>
      <w:pPr>
        <w:pStyle w:val="Heading"/>
        <w:rPr>
          <w:b w:val="false"/>
          <w:i/>
          <w:i/>
          <w:sz w:val="28"/>
          <w:u w:val="none"/>
        </w:rPr>
      </w:pPr>
      <w:r>
        <w:rPr>
          <w:b w:val="false"/>
          <w:i/>
          <w:sz w:val="28"/>
          <w:u w:val="none"/>
        </w:rPr>
      </w:r>
    </w:p>
    <w:p>
      <w:pPr>
        <w:pStyle w:val="Heading"/>
        <w:jc w:val="start"/>
        <w:rPr>
          <w:sz w:val="28"/>
          <w:u w:val="none"/>
        </w:rPr>
      </w:pPr>
      <w:r>
        <w:rPr>
          <w:sz w:val="28"/>
          <w:u w:val="none"/>
        </w:rPr>
        <w:t>Emerging Businesses</w:t>
      </w:r>
    </w:p>
    <w:p>
      <w:pPr>
        <w:pStyle w:val="Heading"/>
        <w:jc w:val="start"/>
        <w:rPr>
          <w:b w:val="false"/>
          <w:sz w:val="28"/>
          <w:u w:val="none"/>
        </w:rPr>
      </w:pPr>
      <w:r>
        <w:rPr>
          <w:b w:val="false"/>
          <w:sz w:val="28"/>
          <w:u w:val="none"/>
        </w:rPr>
        <w:t>Emission Allowances</w:t>
      </w:r>
    </w:p>
    <w:p>
      <w:pPr>
        <w:pStyle w:val="Heading"/>
        <w:jc w:val="start"/>
        <w:rPr>
          <w:b w:val="false"/>
          <w:sz w:val="28"/>
          <w:u w:val="none"/>
        </w:rPr>
      </w:pPr>
      <w:r>
        <w:rPr>
          <w:b w:val="false"/>
          <w:sz w:val="28"/>
          <w:u w:val="none"/>
        </w:rPr>
        <w:t>Coal Trading</w:t>
      </w:r>
    </w:p>
    <w:p>
      <w:pPr>
        <w:pStyle w:val="Heading"/>
        <w:jc w:val="start"/>
        <w:rPr>
          <w:b w:val="false"/>
          <w:sz w:val="28"/>
          <w:u w:val="none"/>
        </w:rPr>
      </w:pPr>
      <w:r>
        <w:rPr>
          <w:b w:val="false"/>
          <w:sz w:val="28"/>
          <w:u w:val="none"/>
        </w:rPr>
        <w:t>Pulp &amp; Paper</w:t>
      </w:r>
    </w:p>
    <w:p>
      <w:pPr>
        <w:pStyle w:val="Heading"/>
        <w:jc w:val="start"/>
        <w:rPr>
          <w:b w:val="false"/>
          <w:sz w:val="28"/>
          <w:u w:val="none"/>
        </w:rPr>
      </w:pPr>
      <w:r>
        <w:rPr>
          <w:b w:val="false"/>
          <w:sz w:val="28"/>
          <w:u w:val="none"/>
        </w:rPr>
        <w:t>Lumber</w:t>
      </w:r>
    </w:p>
    <w:p>
      <w:pPr>
        <w:pStyle w:val="Heading"/>
        <w:jc w:val="start"/>
        <w:rPr>
          <w:b w:val="false"/>
          <w:i/>
          <w:i/>
          <w:sz w:val="28"/>
          <w:u w:val="none"/>
        </w:rPr>
      </w:pPr>
      <w:r>
        <w:rPr>
          <w:b w:val="false"/>
          <w:sz w:val="28"/>
          <w:u w:val="none"/>
        </w:rPr>
        <w:t>Weather</w:t>
      </w:r>
    </w:p>
    <w:p>
      <w:pPr>
        <w:pStyle w:val="Heading"/>
        <w:rPr>
          <w:i/>
          <w:i/>
          <w:sz w:val="24"/>
          <w:u w:val="none"/>
        </w:rPr>
      </w:pPr>
      <w:r>
        <w:rPr>
          <w:i/>
          <w:sz w:val="24"/>
          <w:u w:val="none"/>
        </w:rPr>
        <w:t>Prudency not required for any commodity with a VAR Limit of  less than $5M</w:t>
      </w:r>
    </w:p>
    <w:p>
      <w:pPr>
        <w:pStyle w:val="Heading"/>
        <w:rPr>
          <w:b w:val="false"/>
          <w:i/>
          <w:i/>
          <w:sz w:val="28"/>
          <w:u w:val="none"/>
        </w:rPr>
      </w:pPr>
      <w:r>
        <w:rPr>
          <w:b w:val="false"/>
          <w:i/>
          <w:sz w:val="28"/>
          <w:u w:val="none"/>
        </w:rPr>
      </w:r>
    </w:p>
    <w:p>
      <w:pPr>
        <w:pStyle w:val="Heading"/>
        <w:jc w:val="start"/>
        <w:rPr>
          <w:sz w:val="28"/>
          <w:u w:val="none"/>
        </w:rPr>
      </w:pPr>
      <w:r>
        <w:rPr>
          <w:sz w:val="28"/>
          <w:u w:val="none"/>
        </w:rPr>
        <w:t>Financial Trading</w:t>
      </w:r>
    </w:p>
    <w:p>
      <w:pPr>
        <w:pStyle w:val="Heading"/>
        <w:rPr>
          <w:i/>
          <w:i/>
          <w:sz w:val="24"/>
          <w:u w:val="none"/>
        </w:rPr>
      </w:pPr>
      <w:r>
        <w:rPr>
          <w:i/>
          <w:sz w:val="24"/>
          <w:u w:val="none"/>
        </w:rPr>
        <w:t>Prudency does not cover debt, equity, interest rate, or foreign currency market risks</w:t>
      </w:r>
    </w:p>
    <w:p>
      <w:pPr>
        <w:pStyle w:val="Heading"/>
        <w:rPr>
          <w:i/>
          <w:i/>
          <w:sz w:val="24"/>
          <w:u w:val="none"/>
        </w:rPr>
      </w:pPr>
      <w:r>
        <w:rPr>
          <w:i/>
          <w:sz w:val="24"/>
          <w:u w:val="none"/>
        </w:rPr>
      </w:r>
    </w:p>
    <w:p>
      <w:pPr>
        <w:pStyle w:val="Heading"/>
        <w:rPr>
          <w:i/>
          <w:i/>
          <w:sz w:val="24"/>
          <w:u w:val="none"/>
        </w:rPr>
      </w:pPr>
      <w:r>
        <w:rPr>
          <w:i/>
          <w:sz w:val="24"/>
          <w:u w:val="none"/>
        </w:rPr>
      </w:r>
    </w:p>
    <w:p>
      <w:pPr>
        <w:pStyle w:val="Heading"/>
        <w:jc w:val="start"/>
        <w:rPr>
          <w:sz w:val="28"/>
          <w:u w:val="none"/>
        </w:rPr>
      </w:pPr>
      <w:r>
        <w:rPr>
          <w:sz w:val="28"/>
          <w:u w:val="none"/>
        </w:rPr>
        <w:t>Enron Europe:</w:t>
      </w:r>
    </w:p>
    <w:p>
      <w:pPr>
        <w:pStyle w:val="Heading"/>
        <w:jc w:val="start"/>
        <w:rPr>
          <w:sz w:val="28"/>
          <w:u w:val="none"/>
        </w:rPr>
      </w:pPr>
      <w:r>
        <w:rPr>
          <w:sz w:val="28"/>
          <w:u w:val="none"/>
        </w:rPr>
        <w:t>Global Products</w:t>
      </w:r>
    </w:p>
    <w:p>
      <w:pPr>
        <w:pStyle w:val="Heading"/>
        <w:rPr>
          <w:i/>
          <w:i/>
          <w:sz w:val="24"/>
          <w:u w:val="none"/>
        </w:rPr>
      </w:pPr>
      <w:r>
        <w:rPr>
          <w:i/>
          <w:sz w:val="24"/>
          <w:u w:val="none"/>
        </w:rPr>
        <w:t>Barry, I need you input here.  Is the VAR limit for Global Products broken down to the Commodity Level?</w:t>
      </w:r>
    </w:p>
    <w:p>
      <w:pPr>
        <w:pStyle w:val="Heading"/>
        <w:jc w:val="start"/>
        <w:rPr>
          <w:sz w:val="28"/>
          <w:u w:val="none"/>
        </w:rPr>
      </w:pPr>
      <w:r>
        <w:rPr>
          <w:sz w:val="28"/>
          <w:u w:val="none"/>
        </w:rPr>
        <w:t>European Trading</w:t>
      </w:r>
      <w:r>
        <w:rPr>
          <w:i/>
          <w:sz w:val="28"/>
          <w:u w:val="none"/>
        </w:rPr>
        <w:t xml:space="preserve"> </w:t>
      </w:r>
    </w:p>
    <w:p>
      <w:pPr>
        <w:pStyle w:val="Heading"/>
        <w:jc w:val="start"/>
        <w:rPr>
          <w:b w:val="false"/>
          <w:sz w:val="24"/>
          <w:u w:val="none"/>
        </w:rPr>
      </w:pPr>
      <w:r>
        <w:rPr>
          <w:b w:val="false"/>
          <w:sz w:val="24"/>
          <w:u w:val="none"/>
        </w:rPr>
        <w:t>U.K. Gas</w:t>
      </w:r>
    </w:p>
    <w:p>
      <w:pPr>
        <w:pStyle w:val="Heading"/>
        <w:rPr>
          <w:i/>
          <w:i/>
          <w:sz w:val="24"/>
          <w:u w:val="none"/>
        </w:rPr>
      </w:pPr>
      <w:r>
        <w:rPr>
          <w:i/>
          <w:sz w:val="24"/>
          <w:u w:val="none"/>
        </w:rPr>
        <w:t>Barry, I need your input here.</w:t>
      </w:r>
    </w:p>
    <w:p>
      <w:pPr>
        <w:pStyle w:val="Heading"/>
        <w:jc w:val="start"/>
        <w:rPr>
          <w:b w:val="false"/>
          <w:sz w:val="24"/>
          <w:u w:val="none"/>
        </w:rPr>
      </w:pPr>
      <w:r>
        <w:rPr>
          <w:b w:val="false"/>
          <w:sz w:val="24"/>
          <w:u w:val="none"/>
        </w:rPr>
        <w:t>U.K. Electricity</w:t>
      </w:r>
    </w:p>
    <w:p>
      <w:pPr>
        <w:pStyle w:val="Heading"/>
        <w:rPr>
          <w:i/>
          <w:i/>
          <w:sz w:val="24"/>
          <w:u w:val="none"/>
        </w:rPr>
      </w:pPr>
      <w:r>
        <w:rPr>
          <w:i/>
          <w:sz w:val="24"/>
          <w:u w:val="none"/>
        </w:rPr>
        <w:t xml:space="preserve">Barry, can we use the U.S. Gas Argument here?  Liquidity provided from  U.K. Power Pool </w:t>
      </w:r>
    </w:p>
    <w:p>
      <w:pPr>
        <w:pStyle w:val="Heading"/>
        <w:jc w:val="start"/>
        <w:rPr>
          <w:b w:val="false"/>
          <w:sz w:val="24"/>
          <w:u w:val="none"/>
        </w:rPr>
      </w:pPr>
      <w:r>
        <w:rPr>
          <w:b w:val="false"/>
          <w:sz w:val="24"/>
          <w:u w:val="none"/>
        </w:rPr>
        <w:t>Continental Electricity</w:t>
      </w:r>
    </w:p>
    <w:p>
      <w:pPr>
        <w:pStyle w:val="Heading"/>
        <w:rPr>
          <w:i/>
          <w:i/>
          <w:sz w:val="24"/>
          <w:u w:val="none"/>
        </w:rPr>
      </w:pPr>
      <w:r>
        <w:rPr>
          <w:i/>
          <w:sz w:val="24"/>
          <w:u w:val="none"/>
        </w:rPr>
        <w:t>Prudency not required for any commodity with a VAR Limit of  less than $5M</w:t>
      </w:r>
    </w:p>
    <w:p>
      <w:pPr>
        <w:pStyle w:val="Heading"/>
        <w:jc w:val="both"/>
        <w:rPr>
          <w:b w:val="false"/>
          <w:sz w:val="24"/>
          <w:u w:val="none"/>
        </w:rPr>
      </w:pPr>
      <w:r>
        <w:rPr>
          <w:b w:val="false"/>
          <w:sz w:val="24"/>
          <w:u w:val="none"/>
        </w:rPr>
        <w:t>Nordic Electricity</w:t>
      </w:r>
    </w:p>
    <w:p>
      <w:pPr>
        <w:pStyle w:val="Heading"/>
        <w:rPr>
          <w:i/>
          <w:i/>
          <w:sz w:val="24"/>
          <w:u w:val="none"/>
        </w:rPr>
      </w:pPr>
      <w:r>
        <w:rPr>
          <w:i/>
          <w:sz w:val="24"/>
          <w:u w:val="none"/>
        </w:rPr>
        <w:t>Prudency not required for any commodity with a VAR Limit of  less than $5M</w:t>
      </w:r>
    </w:p>
    <w:p>
      <w:pPr>
        <w:pStyle w:val="Heading"/>
        <w:rPr>
          <w:i/>
          <w:i/>
          <w:sz w:val="24"/>
          <w:u w:val="none"/>
        </w:rPr>
      </w:pPr>
      <w:r>
        <w:rPr>
          <w:i/>
          <w:sz w:val="24"/>
          <w:u w:val="none"/>
        </w:rPr>
      </w:r>
    </w:p>
    <w:p>
      <w:pPr>
        <w:pStyle w:val="Heading"/>
        <w:jc w:val="start"/>
        <w:rPr>
          <w:sz w:val="28"/>
          <w:u w:val="none"/>
        </w:rPr>
      </w:pPr>
      <w:r>
        <w:rPr>
          <w:sz w:val="28"/>
          <w:u w:val="none"/>
        </w:rPr>
        <w:t>Enron South America:</w:t>
      </w:r>
    </w:p>
    <w:p>
      <w:pPr>
        <w:pStyle w:val="Heading"/>
        <w:rPr>
          <w:i/>
          <w:i/>
          <w:sz w:val="24"/>
          <w:u w:val="none"/>
        </w:rPr>
      </w:pPr>
      <w:r>
        <w:rPr>
          <w:i/>
          <w:sz w:val="24"/>
          <w:u w:val="none"/>
        </w:rPr>
        <w:t>Prudency not required for any commodity with a VAR Limit of  less than $5M</w:t>
      </w:r>
    </w:p>
    <w:p>
      <w:pPr>
        <w:pStyle w:val="Heading"/>
        <w:rPr>
          <w:b w:val="false"/>
          <w:i/>
          <w:i/>
          <w:sz w:val="24"/>
          <w:u w:val="none"/>
        </w:rPr>
      </w:pPr>
      <w:r>
        <w:rPr>
          <w:b w:val="false"/>
          <w:i/>
          <w:sz w:val="24"/>
          <w:u w:val="none"/>
        </w:rPr>
      </w:r>
    </w:p>
    <w:p>
      <w:pPr>
        <w:pStyle w:val="Heading"/>
        <w:jc w:val="start"/>
        <w:rPr>
          <w:sz w:val="28"/>
          <w:u w:val="none"/>
        </w:rPr>
      </w:pPr>
      <w:r>
        <w:rPr>
          <w:sz w:val="28"/>
          <w:u w:val="none"/>
        </w:rPr>
        <w:t>Enron Asia/Africa:</w:t>
      </w:r>
    </w:p>
    <w:p>
      <w:pPr>
        <w:pStyle w:val="Heading"/>
        <w:rPr>
          <w:i/>
          <w:i/>
          <w:sz w:val="24"/>
          <w:u w:val="none"/>
        </w:rPr>
      </w:pPr>
      <w:r>
        <w:rPr>
          <w:i/>
          <w:sz w:val="24"/>
          <w:u w:val="none"/>
        </w:rPr>
        <w:t>Prudency not required for any commodity with a VAR Limit of  less than $5M</w:t>
      </w:r>
    </w:p>
    <w:p>
      <w:pPr>
        <w:pStyle w:val="Heading"/>
        <w:rPr>
          <w:i/>
          <w:i/>
          <w:sz w:val="24"/>
          <w:u w:val="none"/>
        </w:rPr>
      </w:pPr>
      <w:r>
        <w:rPr>
          <w:i/>
          <w:sz w:val="24"/>
          <w:u w:val="none"/>
        </w:rPr>
      </w:r>
    </w:p>
    <w:p>
      <w:pPr>
        <w:pStyle w:val="Heading"/>
        <w:jc w:val="start"/>
        <w:rPr>
          <w:sz w:val="28"/>
          <w:u w:val="none"/>
        </w:rPr>
      </w:pPr>
      <w:r>
        <w:rPr>
          <w:sz w:val="28"/>
          <w:u w:val="none"/>
        </w:rPr>
        <w:t>EES:</w:t>
      </w:r>
    </w:p>
    <w:p>
      <w:pPr>
        <w:pStyle w:val="Heading"/>
        <w:rPr>
          <w:i/>
          <w:i/>
          <w:sz w:val="24"/>
          <w:u w:val="none"/>
        </w:rPr>
      </w:pPr>
      <w:r>
        <w:rPr>
          <w:i/>
          <w:sz w:val="24"/>
          <w:u w:val="none"/>
        </w:rPr>
        <w:t xml:space="preserve">No Prudency Required for US Gas.  (See Above) </w:t>
      </w:r>
    </w:p>
    <w:p>
      <w:pPr>
        <w:pStyle w:val="Heading"/>
        <w:rPr>
          <w:i/>
          <w:i/>
          <w:sz w:val="24"/>
          <w:u w:val="none"/>
        </w:rPr>
      </w:pPr>
      <w:r>
        <w:rPr>
          <w:i/>
          <w:sz w:val="24"/>
          <w:u w:val="none"/>
        </w:rPr>
        <w:t>U. S. Power (See Above)</w:t>
      </w:r>
    </w:p>
    <w:p>
      <w:pPr>
        <w:pStyle w:val="Heading"/>
        <w:jc w:val="start"/>
        <w:rPr>
          <w:i/>
          <w:i/>
          <w:sz w:val="28"/>
          <w:u w:val="none"/>
        </w:rPr>
      </w:pPr>
      <w:r>
        <w:rPr>
          <w:i/>
          <w:sz w:val="28"/>
          <w:u w:val="none"/>
        </w:rPr>
      </w:r>
    </w:p>
    <w:p>
      <w:pPr>
        <w:pStyle w:val="Heading"/>
        <w:jc w:val="start"/>
        <w:rPr>
          <w:sz w:val="28"/>
          <w:u w:val="none"/>
        </w:rPr>
      </w:pPr>
      <w:r>
        <w:rPr>
          <w:sz w:val="28"/>
          <w:u w:val="none"/>
        </w:rPr>
      </w:r>
    </w:p>
    <w:p>
      <w:pPr>
        <w:pStyle w:val="Heading"/>
        <w:jc w:val="start"/>
        <w:rPr>
          <w:sz w:val="28"/>
          <w:u w:val="none"/>
        </w:rPr>
      </w:pPr>
      <w:r>
        <w:rPr>
          <w:sz w:val="28"/>
          <w:u w:val="none"/>
        </w:rPr>
      </w:r>
    </w:p>
    <w:p>
      <w:pPr>
        <w:pStyle w:val="Heading"/>
        <w:jc w:val="start"/>
        <w:rPr>
          <w:sz w:val="28"/>
          <w:u w:val="none"/>
        </w:rPr>
      </w:pPr>
      <w:r>
        <w:rPr>
          <w:sz w:val="28"/>
          <w:u w:val="none"/>
        </w:rPr>
      </w:r>
    </w:p>
    <w:p>
      <w:pPr>
        <w:pStyle w:val="Heading"/>
        <w:rPr>
          <w:b w:val="false"/>
          <w:i/>
          <w:i/>
          <w:sz w:val="24"/>
          <w:u w:val="none"/>
        </w:rPr>
      </w:pPr>
      <w:r>
        <w:rPr>
          <w:b w:val="false"/>
          <w:i/>
          <w:sz w:val="24"/>
          <w:u w:val="none"/>
        </w:rPr>
      </w:r>
    </w:p>
    <w:p>
      <w:pPr>
        <w:pStyle w:val="Heading"/>
        <w:jc w:val="start"/>
        <w:rPr>
          <w:b w:val="false"/>
          <w:i/>
          <w:i/>
          <w:sz w:val="24"/>
          <w:u w:val="none"/>
        </w:rPr>
      </w:pPr>
      <w:r>
        <w:rPr>
          <w:b w:val="false"/>
          <w:i/>
          <w:sz w:val="24"/>
          <w:u w:val="none"/>
        </w:rPr>
      </w:r>
    </w:p>
    <w:p>
      <w:pPr>
        <w:pStyle w:val="Heading"/>
        <w:jc w:val="start"/>
        <w:rPr>
          <w:b w:val="false"/>
          <w:i/>
          <w:i/>
          <w:sz w:val="28"/>
          <w:u w:val="none"/>
        </w:rPr>
      </w:pPr>
      <w:r>
        <w:rPr>
          <w:b w:val="false"/>
          <w:i/>
          <w:sz w:val="28"/>
          <w:u w:val="none"/>
        </w:rPr>
      </w:r>
    </w:p>
    <w:p>
      <w:pPr>
        <w:pStyle w:val="Heading"/>
        <w:jc w:val="start"/>
        <w:rPr>
          <w:b w:val="false"/>
          <w:i/>
          <w:i/>
          <w:sz w:val="28"/>
          <w:u w:val="none"/>
        </w:rPr>
      </w:pPr>
      <w:r>
        <w:rPr>
          <w:b w:val="false"/>
          <w:i/>
          <w:sz w:val="28"/>
          <w:u w:val="none"/>
        </w:rPr>
      </w:r>
    </w:p>
    <w:p>
      <w:pPr>
        <w:pStyle w:val="Heading"/>
        <w:jc w:val="start"/>
        <w:rPr>
          <w:sz w:val="28"/>
          <w:u w:val="none"/>
        </w:rPr>
      </w:pPr>
      <w:r>
        <w:rPr>
          <w:sz w:val="28"/>
          <w:u w:val="none"/>
        </w:rPr>
      </w:r>
      <w:r>
        <w:br w:type="page"/>
      </w:r>
    </w:p>
    <w:p>
      <w:pPr>
        <w:pStyle w:val="Heading"/>
        <w:jc w:val="start"/>
        <w:rPr>
          <w:b w:val="false"/>
          <w:sz w:val="28"/>
          <w:u w:val="none"/>
        </w:rPr>
      </w:pPr>
      <w:r>
        <w:rPr>
          <w:b w:val="false"/>
          <w:sz w:val="28"/>
          <w:u w:val="none"/>
        </w:rPr>
      </w:r>
    </w:p>
    <w:p>
      <w:pPr>
        <w:pStyle w:val="Heading"/>
        <w:jc w:val="start"/>
        <w:rPr>
          <w:b w:val="false"/>
          <w:i/>
          <w:i/>
          <w:sz w:val="28"/>
          <w:u w:val="none"/>
        </w:rPr>
      </w:pPr>
      <w:r>
        <w:rPr>
          <w:b w:val="false"/>
          <w:i/>
          <w:sz w:val="28"/>
          <w:u w:val="none"/>
        </w:rPr>
      </w:r>
    </w:p>
    <w:p>
      <w:pPr>
        <w:pStyle w:val="Heading"/>
        <w:jc w:val="start"/>
        <w:rPr>
          <w:b w:val="false"/>
          <w:sz w:val="28"/>
          <w:u w:val="none"/>
        </w:rPr>
      </w:pPr>
      <w:r>
        <w:rPr>
          <w:b w:val="false"/>
          <w:sz w:val="28"/>
          <w:u w:val="none"/>
        </w:rPr>
        <w:t>Definitions:</w:t>
      </w:r>
    </w:p>
    <w:p>
      <w:pPr>
        <w:pStyle w:val="Heading"/>
        <w:jc w:val="start"/>
        <w:rPr>
          <w:b w:val="false"/>
          <w:sz w:val="28"/>
          <w:u w:val="none"/>
        </w:rPr>
      </w:pPr>
      <w:r>
        <w:rPr>
          <w:b w:val="false"/>
          <w:sz w:val="28"/>
          <w:u w:val="none"/>
        </w:rPr>
      </w:r>
    </w:p>
    <w:p>
      <w:pPr>
        <w:pStyle w:val="Normal"/>
        <w:tabs>
          <w:tab w:val="clear" w:pos="720"/>
          <w:tab w:val="left" w:pos="540" w:leader="none"/>
        </w:tabs>
        <w:rPr>
          <w:sz w:val="28"/>
        </w:rPr>
      </w:pPr>
      <w:r>
        <w:rPr>
          <w:sz w:val="28"/>
        </w:rPr>
        <w:t>VAR - Value at risk represents an estimate of reasonably possible net losses in earnings that would be recognized assuming hypothetical movements in future market rates and no change in positions.  This is not necessarily indicative of actual results which may occur.  VAR is disclosed in Enron’s quarterly SEC filings, but no separate balance sheet reserve is required.</w:t>
      </w:r>
    </w:p>
    <w:p>
      <w:pPr>
        <w:pStyle w:val="Normal"/>
        <w:tabs>
          <w:tab w:val="clear" w:pos="720"/>
          <w:tab w:val="left" w:pos="540" w:leader="none"/>
        </w:tabs>
        <w:rPr>
          <w:sz w:val="28"/>
        </w:rPr>
      </w:pPr>
      <w:r>
        <w:rPr>
          <w:sz w:val="28"/>
        </w:rPr>
      </w:r>
    </w:p>
    <w:p>
      <w:pPr>
        <w:pStyle w:val="Heading"/>
        <w:jc w:val="both"/>
        <w:rPr>
          <w:b w:val="false"/>
          <w:sz w:val="28"/>
          <w:u w:val="none"/>
        </w:rPr>
      </w:pPr>
      <w:r>
        <w:rPr>
          <w:b w:val="false"/>
          <w:sz w:val="28"/>
          <w:u w:val="none"/>
        </w:rPr>
        <w:t>Liquidity Risk - represents the risk, especially in thinly traded or emerging markets, that the trader will not achieve the mid-price when liquidating a position, but rather the mid-price minus the bid-ask spread.  This risk, as defined for this policy,  is related to commodity price risk, which is a type of market risk.</w:t>
      </w:r>
    </w:p>
    <w:p>
      <w:pPr>
        <w:pStyle w:val="Heading"/>
        <w:jc w:val="both"/>
        <w:rPr>
          <w:b w:val="false"/>
          <w:sz w:val="28"/>
          <w:u w:val="none"/>
        </w:rPr>
      </w:pPr>
      <w:r>
        <w:rPr>
          <w:b w:val="false"/>
          <w:sz w:val="28"/>
          <w:u w:val="none"/>
        </w:rPr>
      </w:r>
    </w:p>
    <w:p>
      <w:pPr>
        <w:pStyle w:val="Heading"/>
        <w:jc w:val="both"/>
        <w:rPr>
          <w:b w:val="false"/>
          <w:sz w:val="28"/>
          <w:u w:val="none"/>
        </w:rPr>
      </w:pPr>
      <w:r>
        <w:rPr>
          <w:b w:val="false"/>
          <w:sz w:val="28"/>
          <w:u w:val="none"/>
        </w:rPr>
        <w:t>Prudency - represents a reserve for liquidity risk unique to a commodity, current market conditions, and/or term structure.</w:t>
      </w:r>
    </w:p>
    <w:p>
      <w:pPr>
        <w:pStyle w:val="Heading"/>
        <w:jc w:val="both"/>
        <w:rPr>
          <w:b w:val="false"/>
          <w:sz w:val="28"/>
          <w:u w:val="none"/>
        </w:rPr>
      </w:pPr>
      <w:r>
        <w:rPr>
          <w:b w:val="false"/>
          <w:sz w:val="28"/>
          <w:u w:val="none"/>
        </w:rPr>
      </w:r>
    </w:p>
    <w:p>
      <w:pPr>
        <w:pStyle w:val="Heading"/>
        <w:jc w:val="both"/>
        <w:rPr>
          <w:b w:val="false"/>
          <w:sz w:val="28"/>
          <w:u w:val="none"/>
        </w:rPr>
      </w:pPr>
      <w:r>
        <w:rPr>
          <w:b w:val="false"/>
          <w:sz w:val="28"/>
          <w:u w:val="none"/>
        </w:rPr>
        <w:t>Credit Risk - Credit risk relates to the risk of loss that Enron would incur as a result of nonperformance by counterparties pursuant to the terms of their contractual obligations. Enron maintains credit policies with regard to its counterparties that management believes significantly minimize overall credit risk.  Credit risk is assessed on every transaction, and if required,  a reserve is established.  Required reserves are determined monthly incorporating changes in market risk and are compared to booked reserves.  An adjustment to booked reserves is required when they are not within plus or minus 10 % of required reserves.</w:t>
      </w:r>
    </w:p>
    <w:p>
      <w:pPr>
        <w:pStyle w:val="Normal"/>
        <w:tabs>
          <w:tab w:val="clear" w:pos="720"/>
          <w:tab w:val="left" w:pos="540" w:leader="none"/>
        </w:tabs>
        <w:rPr>
          <w:rFonts w:ascii="Courier New" w:hAnsi="Courier New" w:cs="Courier New"/>
          <w:b/>
          <w:sz w:val="28"/>
          <w:u w:val="none"/>
        </w:rPr>
      </w:pPr>
      <w:r>
        <w:rPr>
          <w:rFonts w:cs="Courier New" w:ascii="Courier New" w:hAnsi="Courier New"/>
          <w:b/>
          <w:sz w:val="28"/>
          <w:u w:val="none"/>
        </w:rPr>
      </w:r>
    </w:p>
    <w:p>
      <w:pPr>
        <w:pStyle w:val="BodyText"/>
        <w:rPr/>
      </w:pPr>
      <w:r>
        <w:rPr/>
        <w:t>Market Risk - For Enron’s Wholesale businesses, the major market risks are:</w:t>
      </w:r>
    </w:p>
    <w:p>
      <w:pPr>
        <w:pStyle w:val="Normal"/>
        <w:tabs>
          <w:tab w:val="clear" w:pos="720"/>
          <w:tab w:val="left" w:pos="540" w:leader="none"/>
        </w:tabs>
        <w:rPr>
          <w:rFonts w:ascii="Courier New" w:hAnsi="Courier New" w:cs="Courier New"/>
        </w:rPr>
      </w:pPr>
      <w:r>
        <w:rPr>
          <w:rFonts w:cs="Courier New" w:ascii="Courier New" w:hAnsi="Courier New"/>
        </w:rPr>
      </w:r>
    </w:p>
    <w:p>
      <w:pPr>
        <w:pStyle w:val="box"/>
        <w:numPr>
          <w:ilvl w:val="0"/>
          <w:numId w:val="3"/>
        </w:numPr>
        <w:tabs>
          <w:tab w:val="clear" w:pos="720"/>
          <w:tab w:val="left" w:pos="540" w:leader="none"/>
          <w:tab w:val="left" w:pos="900" w:leader="none"/>
        </w:tabs>
        <w:spacing w:before="0" w:after="0"/>
        <w:ind w:hanging="360" w:start="900" w:end="0"/>
        <w:rPr>
          <w:rFonts w:ascii="Times New Roman" w:hAnsi="Times New Roman" w:cs="Times New Roman"/>
          <w:sz w:val="28"/>
        </w:rPr>
      </w:pPr>
      <w:r>
        <w:rPr>
          <w:rFonts w:cs="Times New Roman" w:ascii="Times New Roman" w:hAnsi="Times New Roman"/>
          <w:sz w:val="28"/>
        </w:rPr>
        <w:t>Commodity Price Risk</w:t>
      </w:r>
      <w:r>
        <w:rPr>
          <w:rFonts w:cs="Times New Roman" w:ascii="Times New Roman" w:hAnsi="Times New Roman"/>
          <w:i/>
          <w:sz w:val="28"/>
        </w:rPr>
        <w:t>.</w:t>
      </w:r>
      <w:r>
        <w:rPr>
          <w:rFonts w:cs="Times New Roman" w:ascii="Times New Roman" w:hAnsi="Times New Roman"/>
          <w:sz w:val="28"/>
        </w:rPr>
        <w:t xml:space="preserve"> </w:t>
      </w:r>
    </w:p>
    <w:p>
      <w:pPr>
        <w:pStyle w:val="Normal"/>
        <w:numPr>
          <w:ilvl w:val="0"/>
          <w:numId w:val="2"/>
        </w:numPr>
        <w:tabs>
          <w:tab w:val="clear" w:pos="720"/>
          <w:tab w:val="left" w:pos="540" w:leader="none"/>
          <w:tab w:val="left" w:pos="900" w:leader="none"/>
        </w:tabs>
        <w:ind w:hanging="360" w:start="900" w:end="0"/>
        <w:rPr>
          <w:sz w:val="28"/>
        </w:rPr>
      </w:pPr>
      <w:r>
        <w:rPr>
          <w:sz w:val="28"/>
        </w:rPr>
        <w:t>Interest Rate Risk</w:t>
      </w:r>
    </w:p>
    <w:p>
      <w:pPr>
        <w:pStyle w:val="Normal"/>
        <w:numPr>
          <w:ilvl w:val="0"/>
          <w:numId w:val="2"/>
        </w:numPr>
        <w:tabs>
          <w:tab w:val="clear" w:pos="720"/>
          <w:tab w:val="left" w:pos="540" w:leader="none"/>
          <w:tab w:val="left" w:pos="900" w:leader="none"/>
        </w:tabs>
        <w:ind w:hanging="360" w:start="900" w:end="0"/>
        <w:rPr>
          <w:sz w:val="28"/>
        </w:rPr>
      </w:pPr>
      <w:r>
        <w:rPr>
          <w:sz w:val="28"/>
        </w:rPr>
        <w:t>Foreign Currency Exchange Rate Risk</w:t>
        <w:tab/>
      </w:r>
    </w:p>
    <w:p>
      <w:pPr>
        <w:pStyle w:val="Normal"/>
        <w:numPr>
          <w:ilvl w:val="0"/>
          <w:numId w:val="2"/>
        </w:numPr>
        <w:tabs>
          <w:tab w:val="clear" w:pos="720"/>
          <w:tab w:val="left" w:pos="540" w:leader="none"/>
          <w:tab w:val="left" w:pos="900" w:leader="none"/>
        </w:tabs>
        <w:ind w:hanging="360" w:start="900" w:end="0"/>
        <w:rPr>
          <w:sz w:val="28"/>
        </w:rPr>
      </w:pPr>
      <w:r>
        <w:rPr>
          <w:sz w:val="28"/>
        </w:rPr>
        <w:t xml:space="preserve">Equity Risk. </w:t>
      </w:r>
    </w:p>
    <w:p>
      <w:pPr>
        <w:pStyle w:val="Header"/>
        <w:tabs>
          <w:tab w:val="clear" w:pos="4320"/>
          <w:tab w:val="clear" w:pos="8640"/>
          <w:tab w:val="left" w:pos="540" w:leader="none"/>
        </w:tabs>
        <w:rPr>
          <w:rFonts w:ascii="Courier New" w:hAnsi="Courier New" w:cs="Courier New"/>
          <w:sz w:val="28"/>
        </w:rPr>
      </w:pPr>
      <w:r>
        <w:rPr>
          <w:rFonts w:cs="Courier New" w:ascii="Courier New" w:hAnsi="Courier New"/>
          <w:sz w:val="28"/>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sz w:val="28"/>
        </w:rPr>
      </w:pPr>
      <w:r>
        <w:rPr>
          <w:rFonts w:cs="Courier New" w:ascii="Courier New" w:hAnsi="Courier New"/>
          <w:sz w:val="28"/>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altName w:val="Georgi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2"/>
      <w:u w:val="single"/>
    </w:rPr>
  </w:style>
  <w:style w:type="paragraph" w:styleId="BodyText">
    <w:name w:val="Body Text"/>
    <w:basedOn w:val="Normal"/>
    <w:pPr>
      <w:tabs>
        <w:tab w:val="clear" w:pos="720"/>
        <w:tab w:val="left" w:pos="540" w:leader="none"/>
      </w:tabs>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
      </w:numPr>
    </w:pPr>
    <w:rPr/>
  </w:style>
  <w:style w:type="paragraph" w:styleId="BodyTextIndent2">
    <w:name w:val="Body Text Indent 2"/>
    <w:basedOn w:val="Normal"/>
    <w:qFormat/>
    <w:pPr>
      <w:ind w:firstLine="90" w:start="0" w:end="0"/>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x">
    <w:name w:val="box"/>
    <w:basedOn w:val="Normal"/>
    <w:qFormat/>
    <w:pPr>
      <w:spacing w:before="0" w:after="120"/>
      <w:ind w:hanging="245" w:start="245" w:end="0"/>
    </w:pPr>
    <w:rPr>
      <w:rFonts w:ascii="Book Antiqua;Georgia" w:hAnsi="Book Antiqua;Georgia" w:cs="Book Antiqua;Georgia"/>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2000-03-09T13:35:00Z</dcterms:created>
  <dc:creator>wcurry</dc:creator>
  <dc:description/>
  <dc:language>en-CA</dc:language>
  <cp:lastModifiedBy>wcurry</cp:lastModifiedBy>
  <cp:lastPrinted>2000-03-09T17:56:00Z</cp:lastPrinted>
  <dcterms:modified xsi:type="dcterms:W3CDTF">2000-03-09T21:29:00Z</dcterms:modified>
  <cp:revision>3</cp:revision>
  <dc:subject/>
  <dc:title>Prudency Policy</dc:title>
</cp:coreProperties>
</file>