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_rels/header1.xml.rels" ContentType="application/vnd.openxmlformats-package.relationships+xml"/>
  <Override PartName="/word/_rels/document.xml.rels" ContentType="application/vnd.openxmlformats-package.relationships+xml"/>
  <Override PartName="/word/embeddings/oleObject1.bin" ContentType="application/vnd.openxmlformats-officedocument.oleObject"/>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0710" w:type="dxa"/>
        <w:jc w:val="start"/>
        <w:tblInd w:w="-720" w:type="dxa"/>
        <w:tblLayout w:type="fixed"/>
        <w:tblCellMar>
          <w:top w:w="0" w:type="dxa"/>
          <w:start w:w="0" w:type="dxa"/>
          <w:bottom w:w="0" w:type="dxa"/>
          <w:end w:w="0" w:type="dxa"/>
        </w:tblCellMar>
      </w:tblPr>
      <w:tblGrid>
        <w:gridCol w:w="10710"/>
      </w:tblGrid>
      <w:tr>
        <w:trPr>
          <w:trHeight w:val="350" w:hRule="atLeast"/>
        </w:trPr>
        <w:tc>
          <w:tcPr>
            <w:tcW w:w="10710" w:type="dxa"/>
            <w:tcBorders>
              <w:top w:val="single" w:sz="4" w:space="0" w:color="000000"/>
              <w:bottom w:val="single" w:sz="4" w:space="0" w:color="000000"/>
            </w:tcBorders>
          </w:tcPr>
          <w:p>
            <w:pPr>
              <w:pStyle w:val="BoxedBodytext"/>
              <w:ind w:start="720" w:end="0"/>
              <w:rPr/>
            </w:pPr>
            <w:r>
              <w:rPr>
                <w:b/>
                <w:sz w:val="24"/>
              </w:rPr>
              <w:t>Date:</w:t>
            </w:r>
            <w:r>
              <w:rPr>
                <w:sz w:val="24"/>
              </w:rPr>
              <w:t xml:space="preserve"> November 15, 2000</w:t>
            </w:r>
          </w:p>
        </w:tc>
      </w:tr>
    </w:tbl>
    <w:p>
      <w:pPr>
        <w:pStyle w:val="BodyText"/>
        <w:rPr/>
      </w:pPr>
      <w:r>
        <w:rPr/>
      </w:r>
    </w:p>
    <w:p>
      <w:pPr>
        <w:pStyle w:val="BodyText"/>
        <w:rPr/>
      </w:pPr>
      <w:r>
        <w:rPr/>
      </w:r>
    </w:p>
    <w:p>
      <w:pPr>
        <w:pStyle w:val="BodyText"/>
        <w:rPr/>
      </w:pPr>
      <w:r>
        <w:rPr>
          <w:b/>
        </w:rPr>
        <w:t>For Release:</w:t>
      </w:r>
      <w:r>
        <w:rPr/>
        <w:t xml:space="preserve"> </w:t>
      </w:r>
      <w:r>
        <w:fldChar w:fldCharType="begin">
          <w:ffData>
            <w:name w:val="Text11"/>
            <w:enabled/>
            <w:calcOnExit w:val="0"/>
            <w:textInput/>
          </w:ffData>
        </w:fldChar>
      </w:r>
      <w:r>
        <w:rPr>
          <w:lang w:val="en-CA"/>
        </w:rPr>
        <w:instrText xml:space="preserve"> FORMTEXT </w:instrText>
      </w:r>
      <w:r>
        <w:rPr>
          <w:lang w:val="en-CA"/>
        </w:rPr>
      </w:r>
      <w:r>
        <w:rPr>
          <w:lang w:val="en-CA"/>
        </w:rPr>
        <w:fldChar w:fldCharType="separate"/>
      </w:r>
      <w:r>
        <w:rPr>
          <w:lang w:val="en-CA"/>
        </w:rPr>
        <w:t>Immediately</w:t>
      </w:r>
      <w:r/>
      <w:r>
        <w:rPr>
          <w:lang w:val="en-CA"/>
        </w:rPr>
        <w:fldChar w:fldCharType="end"/>
      </w:r>
      <w:r>
        <w:rPr>
          <w:lang w:val="en-CA"/>
        </w:rPr>
      </w:r>
    </w:p>
    <w:p>
      <w:pPr>
        <w:pStyle w:val="BodyText"/>
        <w:rPr/>
      </w:pPr>
      <w:r>
        <w:rPr>
          <w:b/>
        </w:rPr>
        <w:t>Refer to:</w:t>
      </w:r>
      <w:r>
        <w:rPr/>
        <w:t xml:space="preserve"> </w:t>
      </w:r>
      <w:r>
        <w:fldChar w:fldCharType="begin">
          <w:ffData>
            <w:name w:val="Text1"/>
            <w:enabled/>
            <w:calcOnExit w:val="0"/>
            <w:textInput/>
          </w:ffData>
        </w:fldChar>
      </w:r>
      <w:r>
        <w:rPr/>
        <w:instrText xml:space="preserve"> FORMTEXT </w:instrText>
      </w:r>
      <w:r>
        <w:rPr/>
      </w:r>
      <w:r>
        <w:rPr/>
        <w:fldChar w:fldCharType="separate"/>
      </w:r>
      <w:r>
        <w:rPr/>
        <w:t>(317) 276-3655 -</w:t>
      </w:r>
      <w:r>
        <w:rPr>
          <w:lang w:val="en-CA"/>
        </w:rPr>
        <w:t>- Edward A. West</w:t>
      </w:r>
      <w:r>
        <w:rPr>
          <w:lang w:val="en-CA"/>
        </w:rPr>
      </w:r>
      <w:r>
        <w:rPr>
          <w:lang w:val="en-CA"/>
        </w:rPr>
        <w:fldChar w:fldCharType="end"/>
      </w:r>
      <w:r>
        <w:rPr/>
        <w:t xml:space="preserve"> </w:t>
      </w:r>
    </w:p>
    <w:p>
      <w:pPr>
        <w:pStyle w:val="BodyText"/>
        <w:ind w:start="945" w:end="0"/>
        <w:rPr/>
      </w:pPr>
      <w:r>
        <w:fldChar w:fldCharType="begin">
          <w:ffData>
            <w:name w:val="Text2"/>
            <w:enabled/>
            <w:calcOnExit w:val="0"/>
            <w:textInput/>
          </w:ffData>
        </w:fldChar>
      </w:r>
      <w:r>
        <w:rPr/>
        <w:instrText xml:space="preserve"> FORMTEXT </w:instrText>
      </w:r>
      <w:r>
        <w:rPr/>
      </w:r>
      <w:r>
        <w:rPr/>
        <w:fldChar w:fldCharType="separate"/>
      </w:r>
      <w:r>
        <w:rPr/>
        <w:t>    </w:t>
      </w:r>
      <w:r/>
      <w:r>
        <w:rPr/>
        <w:fldChar w:fldCharType="end"/>
      </w:r>
      <w:r>
        <w:rPr/>
      </w:r>
    </w:p>
    <w:p>
      <w:pPr>
        <w:pStyle w:val="BodyText"/>
        <w:rPr/>
      </w:pPr>
      <w:r>
        <w:rPr/>
      </w:r>
    </w:p>
    <w:p>
      <w:pPr>
        <w:pStyle w:val="BodyText"/>
        <w:rPr/>
      </w:pPr>
      <w:r>
        <w:rPr/>
      </w:r>
    </w:p>
    <w:p>
      <w:pPr>
        <w:sectPr>
          <w:headerReference w:type="default" r:id="rId2"/>
          <w:footerReference w:type="default" r:id="rId3"/>
          <w:type w:val="nextPage"/>
          <w:pgSz w:w="12240" w:h="15840"/>
          <w:pgMar w:left="1440" w:right="1440" w:gutter="0" w:header="936" w:top="1440" w:footer="562" w:bottom="1440"/>
          <w:pgNumType w:fmt="decimal"/>
          <w:formProt w:val="false"/>
          <w:textDirection w:val="lrTb"/>
          <w:docGrid w:type="default" w:linePitch="360" w:charSpace="0"/>
        </w:sectPr>
      </w:pPr>
    </w:p>
    <w:p>
      <w:pPr>
        <w:pStyle w:val="BodyText"/>
        <w:ind w:start="945" w:end="0"/>
        <w:rPr>
          <w:b/>
        </w:rPr>
      </w:pPr>
      <w:r>
        <w:rPr>
          <w:b/>
        </w:rPr>
        <w:t>Lilly To Receive Six Additional Months of Prozac Market Exclusivity</w:t>
      </w:r>
    </w:p>
    <w:p>
      <w:pPr>
        <w:pStyle w:val="BodyText"/>
        <w:rPr/>
      </w:pPr>
      <w:r>
        <w:rPr>
          <w:i/>
        </w:rPr>
        <w:t xml:space="preserve">                          </w:t>
      </w:r>
      <w:r>
        <w:rPr>
          <w:i/>
        </w:rPr>
        <w:t>Company Complies with FDA Request for Pediatric Studies</w:t>
      </w:r>
    </w:p>
    <w:p>
      <w:pPr>
        <w:pStyle w:val="BodyText"/>
        <w:ind w:firstLine="720" w:start="1440" w:end="0"/>
        <w:jc w:val="center"/>
        <w:rPr>
          <w:i/>
          <w:i/>
        </w:rPr>
      </w:pPr>
      <w:r>
        <w:rPr>
          <w:i/>
        </w:rPr>
      </w:r>
    </w:p>
    <w:p>
      <w:pPr>
        <w:pStyle w:val="BodyText"/>
        <w:jc w:val="center"/>
        <w:rPr>
          <w:i/>
          <w:i/>
        </w:rPr>
      </w:pPr>
      <w:r>
        <w:rPr>
          <w:i/>
        </w:rPr>
      </w:r>
    </w:p>
    <w:p>
      <w:pPr>
        <w:pStyle w:val="BodyText"/>
        <w:spacing w:lineRule="atLeast" w:line="360"/>
        <w:rPr/>
      </w:pPr>
      <w:r>
        <w:rPr/>
        <w:t>The United States Food and Drug Administration (FDA) has granted Eli Lilly and Company (NYSE: LLY) an additional six months of market exclusivity for its antidepressant Prozac</w:t>
      </w:r>
      <w:r>
        <w:rPr>
          <w:rFonts w:eastAsia="Symbol" w:cs="Symbol" w:ascii="Symbol" w:hAnsi="Symbol"/>
          <w:sz w:val="20"/>
        </w:rPr>
        <w:sym w:font="Symbol" w:char="f0e2"/>
      </w:r>
      <w:r>
        <w:rPr/>
        <w:t xml:space="preserve">.  </w:t>
      </w:r>
    </w:p>
    <w:p>
      <w:pPr>
        <w:pStyle w:val="BodyText"/>
        <w:spacing w:lineRule="atLeast" w:line="360"/>
        <w:rPr/>
      </w:pPr>
      <w:r>
        <w:rPr/>
      </w:r>
    </w:p>
    <w:p>
      <w:pPr>
        <w:pStyle w:val="BodyText"/>
        <w:spacing w:lineRule="atLeast" w:line="360"/>
        <w:rPr/>
      </w:pPr>
      <w:r>
        <w:rPr/>
        <w:t>As a result of the FDA Modernization Act of 1997, pharmaceutical companies that comply with FDA requests to submit specific pediatric studies on selected medications may qualify for an additional six months of market exclusivity for those products.  The agency requested that such studies be submitted for Prozac, because there is a lack of data available regarding the effects of medications in treatment of child and adolescent depression.  Lilly complied with the agency's request, completed the specified trials and submitted the data earlier this year.</w:t>
      </w:r>
    </w:p>
    <w:p>
      <w:pPr>
        <w:pStyle w:val="BodyText"/>
        <w:spacing w:lineRule="atLeast" w:line="360"/>
        <w:rPr/>
      </w:pPr>
      <w:r>
        <w:rPr/>
      </w:r>
    </w:p>
    <w:p>
      <w:pPr>
        <w:pStyle w:val="BodyText"/>
        <w:spacing w:lineRule="atLeast" w:line="360"/>
        <w:rPr/>
      </w:pPr>
      <w:r>
        <w:rPr/>
        <w:t>The FDA decision is based strictly on its view as to whether the Lilly application complied with the FDA request.  The FDA did not make any determinations about the safety or effectiveness of Prozac in pediatric patients.</w:t>
      </w:r>
    </w:p>
    <w:p>
      <w:pPr>
        <w:pStyle w:val="BodyText"/>
        <w:spacing w:lineRule="atLeast" w:line="360"/>
        <w:rPr/>
      </w:pPr>
      <w:r>
        <w:rPr/>
      </w:r>
    </w:p>
    <w:p>
      <w:pPr>
        <w:pStyle w:val="BodyText"/>
        <w:spacing w:lineRule="atLeast" w:line="360"/>
        <w:rPr/>
      </w:pPr>
      <w:r>
        <w:rPr/>
        <w:t>Unless Lilly prevails with its pending appeal concerning the 2003 Prozac patent, the extension will begin February 2, 2001, upon the expiration of the 2001 Lilly Prozac patent, and will end August 2, 2001.  During this time, no generic forms of the antidepressant will be allowed in the United States market.</w:t>
      </w:r>
    </w:p>
    <w:p>
      <w:pPr>
        <w:pStyle w:val="BodyText"/>
        <w:spacing w:lineRule="atLeast" w:line="360"/>
        <w:rPr/>
      </w:pPr>
      <w:r>
        <w:rPr/>
      </w:r>
    </w:p>
    <w:p>
      <w:pPr>
        <w:pStyle w:val="BodyText"/>
        <w:spacing w:lineRule="atLeast" w:line="360"/>
        <w:rPr/>
      </w:pPr>
      <w:r>
        <w:rPr/>
        <w:t xml:space="preserve">Lilly, a leading innovation-driven corporation, is developing a growing portfolio of best-in-class pharmaceutical products by applying the latest research from its own worldwide laboratories and from collaborations with eminent scientific organizations. Headquartered in Indianapolis, Ind., Lilly provides answers – through medicines and information – for some of the world's most urgent medical needs.  Additional information about Lilly is available at </w:t>
      </w:r>
      <w:r>
        <w:rPr>
          <w:u w:val="single"/>
        </w:rPr>
        <w:t>www.lilly.com</w:t>
      </w:r>
      <w:r>
        <w:rPr/>
        <w:t>.</w:t>
      </w:r>
    </w:p>
    <w:p>
      <w:pPr>
        <w:pStyle w:val="BodyText"/>
        <w:spacing w:lineRule="atLeast" w:line="360"/>
        <w:rPr/>
      </w:pPr>
      <w:r>
        <w:rPr/>
      </w:r>
    </w:p>
    <w:p>
      <w:pPr>
        <w:pStyle w:val="Normal"/>
        <w:tabs>
          <w:tab w:val="clear" w:pos="720"/>
          <w:tab w:val="left" w:pos="3600" w:leader="none"/>
        </w:tabs>
        <w:suppressAutoHyphens w:val="true"/>
        <w:rPr/>
      </w:pPr>
      <w:r>
        <w:rPr/>
        <w:t xml:space="preserve">This release contains forward-looking statements about the effect of the six-month exclusivity period granted by FDA for Prozac and the timing of the entry of generic fluoxetine in the U.S. Market.  The statements are based on management's best current judgment but actual results could differ materially depending on a variety of factors, </w:t>
      </w:r>
    </w:p>
    <w:p>
      <w:pPr>
        <w:pStyle w:val="Normal"/>
        <w:tabs>
          <w:tab w:val="clear" w:pos="720"/>
          <w:tab w:val="left" w:pos="3600" w:leader="none"/>
        </w:tabs>
        <w:suppressAutoHyphens w:val="true"/>
        <w:rPr/>
      </w:pPr>
      <w:r>
        <w:rPr/>
        <w:t>including the outcome of the Company's appeal of the adverse ruling on its 2003 patent.  For more information about this and other factors, see the Company's Form 10-K and 10-Q filings with the Securities and  Exchange Commission.</w:t>
      </w:r>
    </w:p>
    <w:p>
      <w:pPr>
        <w:pStyle w:val="Normal"/>
        <w:spacing w:lineRule="atLeast" w:line="360"/>
        <w:jc w:val="center"/>
        <w:rPr/>
      </w:pPr>
      <w:r>
        <w:rPr/>
        <w:t>#</w:t>
        <w:tab/>
        <w:t>#</w:t>
        <w:tab/>
        <w:t>#</w:t>
      </w:r>
    </w:p>
    <w:p>
      <w:pPr>
        <w:pStyle w:val="Normal"/>
        <w:tabs>
          <w:tab w:val="clear" w:pos="720"/>
          <w:tab w:val="left" w:pos="360" w:leader="none"/>
          <w:tab w:val="decimal" w:pos="4940" w:leader="none"/>
          <w:tab w:val="decimal" w:pos="7200" w:leader="none"/>
          <w:tab w:val="decimal" w:pos="8720" w:leader="none"/>
          <w:tab w:val="decimal" w:pos="10080" w:leader="none"/>
        </w:tabs>
        <w:ind w:end="-1800"/>
        <w:rPr>
          <w:u w:val="single"/>
        </w:rPr>
      </w:pPr>
      <w:r>
        <w:rPr>
          <w:u w:val="single"/>
        </w:rPr>
        <w:tab/>
        <w:tab/>
      </w:r>
    </w:p>
    <w:p>
      <w:pPr>
        <w:pStyle w:val="Normal"/>
        <w:rPr/>
      </w:pPr>
      <w:r>
        <w:rPr/>
        <w:t>Prozac</w:t>
      </w:r>
      <w:r>
        <w:rPr>
          <w:vertAlign w:val="superscript"/>
        </w:rPr>
        <w:t>®</w:t>
      </w:r>
      <w:r>
        <w:rPr/>
        <w:t xml:space="preserve"> (fluoxetine hydrochloride, Dista) </w:t>
      </w:r>
    </w:p>
    <w:sectPr>
      <w:type w:val="continuous"/>
      <w:pgSz w:w="12240" w:h="15840"/>
      <w:pgMar w:left="1440" w:right="1440" w:gutter="0" w:header="936" w:top="1440" w:footer="562" w:bottom="1440"/>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leste">
    <w:altName w:val="Georgia"/>
    <w:charset w:val="00" w:characterSet="windows-1252"/>
    <w:family w:val="roman"/>
    <w:pitch w:val="variable"/>
  </w:font>
  <w:font w:name="Century Schoolbook">
    <w:altName w:val="NewCenturySchlbk"/>
    <w:charset w:val="00" w:characterSet="windows-1252"/>
    <w:family w:val="roman"/>
    <w:pitch w:val="variable"/>
  </w:font>
  <w:font w:name="Liberation Sans">
    <w:altName w:val="Arial"/>
    <w:charset w:val="01" w:characterSet="utf-8"/>
    <w:family w:val="swiss"/>
    <w:pitch w:val="variable"/>
  </w:font>
  <w:font w:name="DIN-Medium">
    <w:altName w:val="Arial Narrow"/>
    <w:charset w:val="00" w:characterSet="windows-1252"/>
    <w:family w:val="swiss"/>
    <w:pitch w:val="variable"/>
  </w:font>
  <w:font w:name="New Century Schlbk">
    <w:altName w:val="NewCenturySchlbk"/>
    <w:charset w:val="00" w:characterSet="windows-125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360" w:hRule="atLeast"/>
      </w:trPr>
      <w:tc>
        <w:tcPr>
          <w:tcW w:w="10710" w:type="dxa"/>
          <w:tcBorders>
            <w:top w:val="single" w:sz="4" w:space="0" w:color="000000"/>
          </w:tcBorders>
        </w:tcPr>
        <w:p>
          <w:pPr>
            <w:pStyle w:val="Answers"/>
            <w:snapToGrid w:val="false"/>
            <w:spacing w:lineRule="exact" w:line="200" w:before="120" w:after="0"/>
            <w:ind w:start="1087" w:end="216"/>
            <w:rPr/>
          </w:pPr>
          <w:r>
            <w:rPr/>
          </w:r>
        </w:p>
      </w:tc>
    </w:tr>
  </w:tbl>
  <w:p>
    <w:pPr>
      <w:pStyle w:val="Normal"/>
      <w:spacing w:lineRule="exact" w:line="180"/>
      <w:jc w:val="end"/>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710" w:type="dxa"/>
      <w:jc w:val="start"/>
      <w:tblInd w:w="-720" w:type="dxa"/>
      <w:tblLayout w:type="fixed"/>
      <w:tblCellMar>
        <w:top w:w="0" w:type="dxa"/>
        <w:start w:w="0" w:type="dxa"/>
        <w:bottom w:w="0" w:type="dxa"/>
        <w:end w:w="0" w:type="dxa"/>
      </w:tblCellMar>
    </w:tblPr>
    <w:tblGrid>
      <w:gridCol w:w="10710"/>
    </w:tblGrid>
    <w:tr>
      <w:trPr>
        <w:trHeight w:val="405" w:hRule="atLeast"/>
      </w:trPr>
      <w:tc>
        <w:tcPr>
          <w:tcW w:w="10710" w:type="dxa"/>
          <w:tcBorders>
            <w:bottom w:val="single" w:sz="4" w:space="0" w:color="000000"/>
          </w:tcBorders>
        </w:tcPr>
        <w:p>
          <w:pPr>
            <w:pStyle w:val="MemoFax"/>
            <w:snapToGrid w:val="false"/>
            <w:jc w:val="end"/>
            <w:rPr>
              <w:lang w:val="en-CA"/>
            </w:rPr>
          </w:pPr>
          <w:r>
            <w:rPr>
              <w:lang w:val="en-CA"/>
            </w:rPr>
            <w:object w:dxaOrig="5249" w:dyaOrig="3300">
              <v:shapetype id="_x0000_tole_rId1" coordsize="21600,21600" o:spt="ole_rId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 type="_x0000_tole_rId1" style="position:absolute;margin-left:403.2pt;margin-top:-32.4pt;width:86.4pt;height:49.8pt;mso-wrap-distance-left:9.05pt;mso-wrap-distance-right:9.05pt;mso-position-horizontal-relative:margin;mso-position-vertical-relative:text" filled="f" o:ole="">
                <v:imagedata r:id="rId2" o:title=""/>
                <w10:wrap type="topAndBottom"/>
              </v:shape>
              <o:OLEObject Type="Embed" ProgID="" ShapeID="ole_rId1" DrawAspect="Content" ObjectID="_229220685" r:id="rId1"/>
            </w:object>
          </w:r>
        </w:p>
      </w:tc>
    </w:tr>
  </w:tbl>
  <w:p>
    <w:pPr>
      <w:pStyle w:val="Address"/>
      <w:spacing w:before="60" w:after="0"/>
      <w:rPr/>
    </w:pPr>
    <w:r>
      <w:rPr/>
      <w:t>Eli Lilly and Company</w:t>
    </w:r>
  </w:p>
  <w:p>
    <w:pPr>
      <w:pStyle w:val="Address"/>
      <w:rPr/>
    </w:pPr>
    <w:r>
      <w:rPr/>
      <w:t>Lilly Corporate Center</w:t>
    </w:r>
  </w:p>
  <w:p>
    <w:pPr>
      <w:pStyle w:val="Address"/>
      <w:rPr/>
    </w:pPr>
    <w:r>
      <w:rPr/>
      <w:t>Indianapolis, Indiana 46285</w:t>
    </w:r>
  </w:p>
  <w:p>
    <w:pPr>
      <w:pStyle w:val="Address"/>
      <w:rPr/>
    </w:pPr>
    <w:r>
      <w:rPr/>
      <w:t>U.S.A.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suppressAutoHyphens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eleste;Georgia" w:hAnsi="Celeste;Georgia" w:cs="Celeste;Georgia"/>
      <w:sz w:val="24"/>
    </w:rPr>
  </w:style>
  <w:style w:type="paragraph" w:styleId="Heading4">
    <w:name w:val="heading 4"/>
    <w:basedOn w:val="Normal"/>
    <w:next w:val="Normal"/>
    <w:qFormat/>
    <w:pPr>
      <w:keepNext w:val="true"/>
      <w:numPr>
        <w:ilvl w:val="3"/>
        <w:numId w:val="1"/>
      </w:numPr>
      <w:jc w:val="center"/>
      <w:outlineLvl w:val="3"/>
    </w:pPr>
    <w:rPr>
      <w:rFonts w:ascii="Century Schoolbook;NewCenturySchlbk" w:hAnsi="Century Schoolbook;NewCenturySchlbk" w:cs="Century Schoolbook;NewCenturySchlbk"/>
      <w:i/>
      <w:sz w:val="24"/>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uppressAutoHyphens w:val="true"/>
      <w:spacing w:lineRule="exact" w:line="28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emoFax">
    <w:name w:val="Memo/Fax"/>
    <w:basedOn w:val="Normal"/>
    <w:qFormat/>
    <w:pPr>
      <w:spacing w:lineRule="exact" w:line="360"/>
      <w:ind w:hanging="0" w:start="1944" w:end="0"/>
    </w:pPr>
    <w:rPr>
      <w:rFonts w:ascii="Arial" w:hAnsi="Arial" w:cs="Arial"/>
      <w:sz w:val="36"/>
    </w:rPr>
  </w:style>
  <w:style w:type="paragraph" w:styleId="Address">
    <w:name w:val="Address"/>
    <w:basedOn w:val="Normal"/>
    <w:qFormat/>
    <w:pPr>
      <w:spacing w:lineRule="exact" w:line="200"/>
      <w:ind w:hanging="0" w:start="6437" w:end="0"/>
    </w:pPr>
    <w:rPr>
      <w:rFonts w:ascii="Arial" w:hAnsi="Arial" w:cs="Arial"/>
      <w:sz w:val="16"/>
    </w:rPr>
  </w:style>
  <w:style w:type="paragraph" w:styleId="Phone">
    <w:name w:val="Phone"/>
    <w:basedOn w:val="Address"/>
    <w:qFormat/>
    <w:pPr>
      <w:spacing w:before="100" w:after="0"/>
      <w:ind w:hanging="0" w:start="1987" w:end="0"/>
    </w:pPr>
    <w:rPr/>
  </w:style>
  <w:style w:type="paragraph" w:styleId="Answers">
    <w:name w:val="Answers"/>
    <w:basedOn w:val="Normal"/>
    <w:qFormat/>
    <w:pPr>
      <w:spacing w:lineRule="exact" w:line="240" w:before="60" w:after="0"/>
      <w:ind w:hanging="0" w:start="8280" w:end="180"/>
      <w:jc w:val="end"/>
    </w:pPr>
    <w:rPr>
      <w:rFonts w:ascii="DIN-Medium;Arial Narrow" w:hAnsi="DIN-Medium;Arial Narrow" w:cs="DIN-Medium;Arial Narrow"/>
      <w:sz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xedBodytext">
    <w:name w:val="Boxed Body text"/>
    <w:basedOn w:val="BodyText"/>
    <w:qFormat/>
    <w:pPr>
      <w:suppressAutoHyphens w:val="true"/>
      <w:spacing w:lineRule="exact" w:line="320"/>
      <w:ind w:hanging="0" w:start="1971" w:end="0"/>
    </w:pPr>
    <w:rPr>
      <w:rFonts w:ascii="Times New Roman" w:hAnsi="Times New Roman" w:cs="Times New Roman"/>
      <w:sz w:val="22"/>
    </w:rPr>
  </w:style>
  <w:style w:type="paragraph" w:styleId="LillySubject">
    <w:name w:val="Lilly Subject"/>
    <w:basedOn w:val="BodyText"/>
    <w:qFormat/>
    <w:pPr>
      <w:suppressAutoHyphens w:val="true"/>
    </w:pPr>
    <w:rPr>
      <w:rFonts w:ascii="DIN-Medium;Arial Narrow" w:hAnsi="DIN-Medium;Arial Narrow" w:cs="DIN-Medium;Arial Narrow"/>
      <w:sz w:val="22"/>
    </w:rPr>
  </w:style>
  <w:style w:type="paragraph" w:styleId="trademark">
    <w:name w:val="trademark"/>
    <w:basedOn w:val="Normal"/>
    <w:qFormat/>
    <w:pPr>
      <w:tabs>
        <w:tab w:val="clear" w:pos="720"/>
        <w:tab w:val="left" w:pos="1440" w:leader="none"/>
        <w:tab w:val="left" w:pos="2160" w:leader="none"/>
      </w:tabs>
      <w:spacing w:lineRule="atLeast" w:line="360"/>
      <w:ind w:hanging="720" w:start="720" w:end="0"/>
    </w:pPr>
    <w:rPr>
      <w:rFonts w:ascii="New Century Schlbk;NewCenturySchlbk" w:hAnsi="New Century Schlbk;NewCenturySchlbk" w:cs="New Century Schlbk;NewCenturySchlbk"/>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oleObject" Target="embeddings/oleObject1.bin"/><Relationship Id="rId2"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US-Lilly News</Template>
  <TotalTime>50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2000-09-05T19:07:00Z</dcterms:created>
  <dc:creator>Colleen M Parker</dc:creator>
  <dc:description/>
  <dc:language>en-CA</dc:language>
  <cp:lastModifiedBy>Edward G. Sagebiel</cp:lastModifiedBy>
  <cp:lastPrinted>2000-11-13T09:10:00Z</cp:lastPrinted>
  <dcterms:modified xsi:type="dcterms:W3CDTF">2000-11-13T11:40:00Z</dcterms:modified>
  <cp:revision>19</cp:revision>
  <dc:subject/>
  <dc:title>  </dc:title>
</cp:coreProperties>
</file>