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vanish/>
          <w:color w:val="FF0000"/>
          <w:lang w:val="en-CA"/>
        </w:rPr>
      </w:pPr>
      <w:bookmarkStart w:id="0" w:name="_Ref529654685"/>
      <w:bookmarkStart w:id="1" w:name="_Ref529410709"/>
      <w:bookmarkStart w:id="2" w:name="_Ref529302618"/>
      <w:bookmarkStart w:id="3" w:name="_DV_M682"/>
      <w:bookmarkStart w:id="4" w:name="_DV_M585"/>
      <w:bookmarkStart w:id="5" w:name="_DV_M0"/>
      <w:bookmarkStart w:id="6" w:name="_Ref528908855"/>
      <w:bookmarkEnd w:id="3"/>
      <w:bookmarkEnd w:id="4"/>
      <w:bookmarkEnd w:id="5"/>
      <w:bookmarkEnd w:id="6"/>
      <w:r>
        <w:rPr>
          <w:lang w:val="en-CA"/>
        </w:rPr>
        <w:tab/>
        <w:tab/>
        <w:t>Section 5.9</w:t>
        <w:tab/>
      </w:r>
      <w:r>
        <w:rPr>
          <w:i/>
          <w:lang w:val="en-CA"/>
        </w:rPr>
        <w:t>Absence of Certain</w:t>
      </w:r>
      <w:bookmarkStart w:id="7" w:name="_DV_M683"/>
      <w:bookmarkEnd w:id="7"/>
      <w:r>
        <w:rPr>
          <w:i/>
          <w:lang w:val="en-CA"/>
        </w:rPr>
        <w:t xml:space="preserve"> Changes</w:t>
      </w:r>
      <w:bookmarkEnd w:id="0"/>
      <w:bookmarkEnd w:id="1"/>
      <w:bookmarkEnd w:id="2"/>
    </w:p>
    <w:p>
      <w:pPr>
        <w:pStyle w:val="BodyText"/>
        <w:rPr/>
      </w:pPr>
      <w:bookmarkStart w:id="8" w:name="_DV_M684"/>
      <w:bookmarkEnd w:id="8"/>
      <w:r>
        <w:rPr>
          <w:color w:val="000000"/>
          <w:lang w:val="en-CA"/>
        </w:rPr>
        <w:t xml:space="preserve">.  Except as described in the Enron </w:t>
      </w:r>
      <w:bookmarkStart w:id="9" w:name="_DV_C477"/>
      <w:r>
        <w:rPr>
          <w:rStyle w:val="DeltaViewInsertion"/>
          <w:lang w:val="en-CA"/>
        </w:rPr>
        <w:t xml:space="preserve">Filed </w:t>
      </w:r>
      <w:bookmarkStart w:id="10" w:name="_DV_M685"/>
      <w:bookmarkEnd w:id="9"/>
      <w:bookmarkEnd w:id="10"/>
      <w:r>
        <w:rPr>
          <w:color w:val="000000"/>
          <w:lang w:val="en-CA"/>
        </w:rPr>
        <w:t>Reports</w:t>
      </w:r>
      <w:bookmarkStart w:id="11" w:name="_DV_C478"/>
      <w:r>
        <w:rPr>
          <w:rStyle w:val="DeltaViewDeletion"/>
          <w:lang w:val="en-CA"/>
        </w:rPr>
        <w:t xml:space="preserve"> filed prior to the date of this Agreement</w:t>
      </w:r>
      <w:bookmarkStart w:id="12" w:name="_DV_M686"/>
      <w:bookmarkEnd w:id="11"/>
      <w:bookmarkEnd w:id="12"/>
      <w:r>
        <w:rPr>
          <w:color w:val="000000"/>
          <w:lang w:val="en-CA"/>
        </w:rPr>
        <w:t>, since December 31, 2000, there has not been (i)  </w:t>
      </w:r>
      <w:bookmarkStart w:id="13" w:name="_DV_M687"/>
      <w:bookmarkEnd w:id="13"/>
      <w:r>
        <w:rPr>
          <w:color w:val="000000"/>
          <w:lang w:val="en-CA"/>
        </w:rPr>
        <w:t xml:space="preserve">any event or occurrence, or series of events or occurrences, that has had or is reasonably likely to have, individually or in the aggregate, </w:t>
      </w:r>
      <w:bookmarkStart w:id="14" w:name="_DV_C479"/>
      <w:r>
        <w:rPr>
          <w:rStyle w:val="DeltaViewDeletion"/>
          <w:lang w:val="en-CA"/>
        </w:rPr>
        <w:t>a</w:t>
      </w:r>
      <w:bookmarkStart w:id="15" w:name="_DV_C480"/>
      <w:bookmarkEnd w:id="14"/>
      <w:r>
        <w:rPr>
          <w:rStyle w:val="DeltaViewInsertion"/>
          <w:lang w:val="en-CA"/>
        </w:rPr>
        <w:t>an</w:t>
      </w:r>
      <w:bookmarkStart w:id="16" w:name="_DV_M688"/>
      <w:bookmarkEnd w:id="15"/>
      <w:bookmarkEnd w:id="16"/>
      <w:r>
        <w:rPr>
          <w:color w:val="000000"/>
          <w:lang w:val="en-CA"/>
        </w:rPr>
        <w:t xml:space="preserve"> Enron Material Adverse Effect, except for such changes or effects described in clause (1) of the definition of Enron Material Adverse Effect resulting from changes in general </w:t>
      </w:r>
      <w:bookmarkStart w:id="17" w:name="_DV_C481"/>
      <w:r>
        <w:rPr>
          <w:rStyle w:val="DeltaViewInsertion"/>
          <w:lang w:val="en-CA"/>
        </w:rPr>
        <w:t xml:space="preserve">industry conditions or changes in general </w:t>
      </w:r>
      <w:bookmarkStart w:id="18" w:name="_DV_M689"/>
      <w:bookmarkEnd w:id="17"/>
      <w:bookmarkEnd w:id="18"/>
      <w:r>
        <w:rPr>
          <w:color w:val="000000"/>
          <w:lang w:val="en-CA"/>
        </w:rPr>
        <w:t>economic conditions, (ii)  </w:t>
      </w:r>
      <w:bookmarkStart w:id="19" w:name="_DV_M690"/>
      <w:bookmarkEnd w:id="19"/>
      <w:r>
        <w:rPr>
          <w:color w:val="000000"/>
          <w:lang w:val="en-CA"/>
        </w:rPr>
        <w:t>any material change by Enron or any of its Subsidiaries, when taken as a whole, in any of its accounting methods, principles or practices or any of its tax methods, practices or elections, (iii)  </w:t>
      </w:r>
      <w:bookmarkStart w:id="20" w:name="_DV_M691"/>
      <w:bookmarkEnd w:id="20"/>
      <w:r>
        <w:rPr>
          <w:color w:val="000000"/>
          <w:lang w:val="en-CA"/>
        </w:rPr>
        <w:t>any declaration, setting aside or payment of any dividend or distribution in respect of any capital stock of Enron or any redemption, purchase or other acquisition of any of its securities, except dividends on shares of Enron Common Stock at a rate of not more than $0.125 per share per quarter, on shares of its Second Preferred Stock at a rate of not more than $3.413 per share per quarter, on shares of its 9.142% Preferred Stock at an annual rate of not more than $91.420 per share and on shares of its Series B Preferred Stock at an annual rate of 6.5% of the liquidation preference thereof, or (iv)  </w:t>
      </w:r>
      <w:bookmarkStart w:id="21" w:name="_DV_M692"/>
      <w:bookmarkEnd w:id="21"/>
      <w:r>
        <w:rPr>
          <w:color w:val="000000"/>
          <w:lang w:val="en-CA"/>
        </w:rPr>
        <w:t>any increase in or establishment of any bonus, insurance, severance, deferred compensation, pension, retirement, profit sharing, stock option, stock purchase or other employee benefit plan, except in the ordinary course of business consistent with past practice.</w:t>
      </w:r>
    </w:p>
    <w:p>
      <w:pPr>
        <w:pStyle w:val="Normal"/>
        <w:rPr>
          <w:vanish/>
          <w:color w:val="FF0000"/>
          <w:lang w:val="en-CA"/>
        </w:rPr>
      </w:pPr>
      <w:bookmarkStart w:id="22" w:name="_DV_M866"/>
      <w:bookmarkStart w:id="23" w:name="_DV_M693"/>
      <w:bookmarkEnd w:id="22"/>
      <w:bookmarkEnd w:id="23"/>
      <w:r>
        <w:rPr>
          <w:lang w:val="en-CA"/>
        </w:rPr>
        <w:tab/>
        <w:tab/>
        <w:t>Section 6.9</w:t>
        <w:tab/>
      </w:r>
      <w:r>
        <w:rPr>
          <w:i/>
          <w:lang w:val="en-CA"/>
        </w:rPr>
        <w:t>Absence of Certain Changes</w:t>
      </w:r>
    </w:p>
    <w:p>
      <w:pPr>
        <w:pStyle w:val="BodyText"/>
        <w:rPr>
          <w:color w:val="000000"/>
          <w:lang w:val="en-CA"/>
        </w:rPr>
      </w:pPr>
      <w:r>
        <w:rPr>
          <w:lang w:val="en-CA"/>
        </w:rPr>
        <w:t>.  Except as described in the Dynegy Reports filed prior to the date of this Agreement, since December  </w:t>
      </w:r>
      <w:bookmarkStart w:id="24" w:name="_DV_M868"/>
      <w:bookmarkEnd w:id="24"/>
      <w:r>
        <w:rPr>
          <w:lang w:val="en-CA"/>
        </w:rPr>
        <w:t>31, 2000, there has not been (i)  </w:t>
      </w:r>
      <w:bookmarkStart w:id="25" w:name="_DV_M869"/>
      <w:bookmarkEnd w:id="25"/>
      <w:r>
        <w:rPr>
          <w:lang w:val="en-CA"/>
        </w:rPr>
        <w:t xml:space="preserve">any event or occurrence, or series of events or occurrences, that has had or is reasonably likely to have, individually or in the aggregate, a Dynegy Material Adverse Effect, except for such changes or effects described in clause (1) of the definition of Dynegy Material Adverse Effect resulting from changes in general </w:t>
      </w:r>
      <w:bookmarkStart w:id="26" w:name="_DV_C560"/>
      <w:r>
        <w:rPr>
          <w:rStyle w:val="DeltaViewInsertion"/>
          <w:lang w:val="en-CA"/>
        </w:rPr>
        <w:t xml:space="preserve">industry conditions or changes in general </w:t>
      </w:r>
      <w:bookmarkStart w:id="27" w:name="_DV_M870"/>
      <w:bookmarkEnd w:id="26"/>
      <w:bookmarkEnd w:id="27"/>
      <w:r>
        <w:rPr>
          <w:lang w:val="en-CA"/>
        </w:rPr>
        <w:t>economic conditions, (ii)  </w:t>
      </w:r>
      <w:bookmarkStart w:id="28" w:name="_DV_M871"/>
      <w:bookmarkEnd w:id="28"/>
      <w:r>
        <w:rPr>
          <w:lang w:val="en-CA"/>
        </w:rPr>
        <w:t>any material change by Dynegy or any of its Subsidiaries, when taken as a whole, in any of its accounting methods, principles or practices or any of its tax methods, practices or elections, (iii)  </w:t>
      </w:r>
      <w:bookmarkStart w:id="29" w:name="_DV_M872"/>
      <w:bookmarkEnd w:id="29"/>
      <w:r>
        <w:rPr>
          <w:lang w:val="en-CA"/>
        </w:rPr>
        <w:t>any declaration, setting aside or payment of any dividend or distribution in respect of any capital stock of Dynegy or any redemption, purchase or other acquisition of any of its securities, except dividends on shares of Dynegy Common Stock and Dynegy Class  </w:t>
      </w:r>
      <w:bookmarkStart w:id="30" w:name="_DV_M873"/>
      <w:bookmarkEnd w:id="30"/>
      <w:r>
        <w:rPr>
          <w:lang w:val="en-CA"/>
        </w:rPr>
        <w:t>B Common Stock at a rate of not more than $0.075 per share per quarter, or (iv)  </w:t>
      </w:r>
      <w:bookmarkStart w:id="31" w:name="_DV_M874"/>
      <w:bookmarkEnd w:id="31"/>
      <w:r>
        <w:rPr>
          <w:lang w:val="en-CA"/>
        </w:rPr>
        <w:t>any increase in or establishment of any bonus, insurance, severance, deferred compensation, pension, retirement, profit sharing, stock option, stock purchase or other employee benefit plan, except in the ordinary course of business consistent with past practice.</w:t>
      </w:r>
      <w:bookmarkStart w:id="32" w:name="_Ref529730067"/>
      <w:bookmarkStart w:id="33" w:name="_Ref529299239"/>
      <w:bookmarkStart w:id="34" w:name="_DV_M951"/>
      <w:bookmarkStart w:id="35" w:name="_DV_M950"/>
      <w:bookmarkStart w:id="36" w:name="_DV_M875"/>
      <w:bookmarkEnd w:id="34"/>
      <w:bookmarkEnd w:id="35"/>
      <w:bookmarkEnd w:id="36"/>
    </w:p>
    <w:p>
      <w:pPr>
        <w:pStyle w:val="BodyText"/>
        <w:rPr>
          <w:i/>
          <w:i/>
          <w:vanish/>
          <w:color w:val="FF0000"/>
          <w:lang w:val="en-CA"/>
        </w:rPr>
      </w:pPr>
      <w:r>
        <w:rPr>
          <w:color w:val="000000"/>
          <w:lang w:val="en-CA"/>
        </w:rPr>
        <w:tab/>
        <w:tab/>
        <w:t>Section 7.1</w:t>
        <w:tab/>
      </w:r>
      <w:r>
        <w:rPr>
          <w:i/>
          <w:lang w:val="en-CA"/>
        </w:rPr>
        <w:t>Conduct of Business</w:t>
      </w:r>
      <w:bookmarkEnd w:id="32"/>
      <w:bookmarkEnd w:id="33"/>
    </w:p>
    <w:p>
      <w:pPr>
        <w:pStyle w:val="BodyText"/>
        <w:rPr/>
      </w:pPr>
      <w:bookmarkStart w:id="37" w:name="_DV_M952"/>
      <w:bookmarkEnd w:id="37"/>
      <w:r>
        <w:rPr>
          <w:i/>
          <w:color w:val="000000"/>
          <w:lang w:val="en-CA"/>
        </w:rPr>
        <w:t>.</w:t>
      </w:r>
      <w:r>
        <w:rPr>
          <w:color w:val="000000"/>
          <w:lang w:val="en-CA"/>
        </w:rPr>
        <w:t xml:space="preserve">  From and after the date hereof and prior to the Effective Time, except as set forth in the Dynegy Disclosure Letter or the Enron Disclosure Letter or as expressly contemplated by any other provision of this Agreement or (</w:t>
      </w:r>
      <w:r>
        <w:rPr>
          <w:i/>
          <w:color w:val="000000"/>
          <w:lang w:val="en-CA"/>
        </w:rPr>
        <w:t>provided</w:t>
      </w:r>
      <w:bookmarkStart w:id="38" w:name="_DV_M953"/>
      <w:bookmarkEnd w:id="38"/>
      <w:r>
        <w:rPr>
          <w:color w:val="000000"/>
          <w:lang w:val="en-CA"/>
        </w:rPr>
        <w:t xml:space="preserve"> that the party proposing to take such action has provided the other party with advance notice of the proposed action to the extent practicable) as required by Applicable Laws, unless the other party has consented in writing thereto (which, in the case of </w:t>
      </w:r>
      <w:bookmarkStart w:id="39" w:name="_DV_M954"/>
      <w:bookmarkEnd w:id="39"/>
      <w:r>
        <w:rPr>
          <w:color w:val="000000"/>
          <w:lang w:val="en-CA"/>
        </w:rPr>
        <w:t>Section 7.1(m), shall not be unreasonably withheld), each of Dynegy and Enron:</w:t>
      </w:r>
    </w:p>
    <w:p>
      <w:pPr>
        <w:pStyle w:val="Heading3"/>
        <w:rPr>
          <w:color w:val="000000"/>
          <w:lang w:val="en-CA"/>
        </w:rPr>
      </w:pPr>
      <w:bookmarkStart w:id="40" w:name="_DV_M955"/>
      <w:bookmarkEnd w:id="40"/>
      <w:r>
        <w:rPr>
          <w:color w:val="000000"/>
          <w:lang w:val="en-CA"/>
        </w:rPr>
        <w:t xml:space="preserve">shall, and shall cause each of its Subsidiaries to, conduct its operations according to their usual, regular and ordinary course in substantially the same manner as heretofore conducted; </w:t>
      </w:r>
      <w:r>
        <w:rPr>
          <w:i/>
          <w:color w:val="000000"/>
          <w:lang w:val="en-CA"/>
        </w:rPr>
        <w:t>provided, however</w:t>
      </w:r>
      <w:r>
        <w:rPr>
          <w:color w:val="000000"/>
          <w:lang w:val="en-CA"/>
        </w:rPr>
        <w:t>, that this subsection (a)  </w:t>
      </w:r>
      <w:bookmarkStart w:id="41" w:name="_DV_M956"/>
      <w:bookmarkEnd w:id="41"/>
      <w:r>
        <w:rPr>
          <w:color w:val="000000"/>
          <w:lang w:val="en-CA"/>
        </w:rPr>
        <w:t>shall not prevent a party from introducing, or permitting its Subsidiaries from introducing, new products and services related to the business and operations heretofore conducted by them;</w:t>
      </w:r>
    </w:p>
    <w:p>
      <w:pPr>
        <w:pStyle w:val="Heading3"/>
        <w:rPr>
          <w:color w:val="000000"/>
          <w:lang w:val="en-CA"/>
        </w:rPr>
      </w:pPr>
      <w:bookmarkStart w:id="42" w:name="_DV_M957"/>
      <w:bookmarkEnd w:id="42"/>
      <w:r>
        <w:rPr>
          <w:color w:val="000000"/>
          <w:lang w:val="en-CA"/>
        </w:rPr>
        <w:t xml:space="preserve">shall use its commercially reasonable best efforts, and shall cause each of its Subsidiaries to use its commercially reasonable best efforts, to preserve intact their business organizations and goodwill (except that any of its Subsidiaries may be merged with or into, or be consolidated with, any of its Subsidiaries or may be liquidated into it or any of its Subsidiaries), keep available the services of their respective officers and employees and maintain satisfactory relationships with those persons having business relationships with them; </w:t>
      </w:r>
    </w:p>
    <w:p>
      <w:pPr>
        <w:pStyle w:val="Heading3"/>
        <w:rPr>
          <w:color w:val="000000"/>
          <w:lang w:val="en-CA"/>
        </w:rPr>
      </w:pPr>
      <w:bookmarkStart w:id="43" w:name="_DV_M958"/>
      <w:bookmarkEnd w:id="43"/>
      <w:r>
        <w:rPr>
          <w:color w:val="000000"/>
          <w:lang w:val="en-CA"/>
        </w:rPr>
        <w:t>shall not amend its articles of incorporation or bylaws</w:t>
      </w:r>
      <w:bookmarkStart w:id="44" w:name="_DV_C594"/>
      <w:r>
        <w:rPr>
          <w:rStyle w:val="DeltaViewInsertion"/>
          <w:lang w:val="en-CA"/>
        </w:rPr>
        <w:t>, except that Enron may amend its articles of incorporation to increase its authorized Enron Common Stock by not more than 500 million shares</w:t>
      </w:r>
      <w:bookmarkStart w:id="45" w:name="_DV_M959"/>
      <w:bookmarkEnd w:id="44"/>
      <w:bookmarkEnd w:id="45"/>
      <w:r>
        <w:rPr>
          <w:color w:val="000000"/>
          <w:lang w:val="en-CA"/>
        </w:rPr>
        <w:t>;</w:t>
      </w:r>
    </w:p>
    <w:p>
      <w:pPr>
        <w:pStyle w:val="Heading3"/>
        <w:rPr>
          <w:color w:val="000000"/>
          <w:lang w:val="en-CA"/>
        </w:rPr>
      </w:pPr>
      <w:bookmarkStart w:id="46" w:name="_DV_M960"/>
      <w:bookmarkEnd w:id="46"/>
      <w:r>
        <w:rPr>
          <w:color w:val="000000"/>
          <w:lang w:val="en-CA"/>
        </w:rPr>
        <w:t>shall promptly notify the other of any material adverse change in its condition (financial or otherwise) or business or any termination, cancellation, repudiation or material breach of any material contract (or communications expressly indicating that the same may be contemplated) or the institution of any material litigation or proceedings (including arbitration and other dispute resolution proceedings) or material governmental complaints, investigations, inquiries or hearings (or communications indicating that the same may be contemplated) or the breach in any material respect of any representation or warranty contained herein;</w:t>
      </w:r>
    </w:p>
    <w:p>
      <w:pPr>
        <w:pStyle w:val="Heading3"/>
        <w:rPr>
          <w:color w:val="000000"/>
          <w:lang w:val="en-CA"/>
        </w:rPr>
      </w:pPr>
      <w:bookmarkStart w:id="47" w:name="_DV_M961"/>
      <w:bookmarkEnd w:id="47"/>
      <w:r>
        <w:rPr>
          <w:color w:val="000000"/>
          <w:lang w:val="en-CA"/>
        </w:rPr>
        <w:t xml:space="preserve">shall promptly </w:t>
      </w:r>
      <w:bookmarkStart w:id="48" w:name="_DV_C595"/>
      <w:r>
        <w:rPr>
          <w:rStyle w:val="DeltaViewDeletion"/>
          <w:lang w:val="en-CA"/>
        </w:rPr>
        <w:t>deliver</w:t>
      </w:r>
      <w:bookmarkStart w:id="49" w:name="_DV_C596"/>
      <w:bookmarkEnd w:id="48"/>
      <w:r>
        <w:rPr>
          <w:rStyle w:val="DeltaViewInsertion"/>
          <w:lang w:val="en-CA"/>
        </w:rPr>
        <w:t>make available (in paper form or via the internet)</w:t>
      </w:r>
      <w:bookmarkStart w:id="50" w:name="_DV_M962"/>
      <w:bookmarkEnd w:id="49"/>
      <w:bookmarkEnd w:id="50"/>
      <w:r>
        <w:rPr>
          <w:color w:val="000000"/>
          <w:lang w:val="en-CA"/>
        </w:rPr>
        <w:t xml:space="preserve"> to the other true and correct copies of any report, statement or schedule filed with the SEC subsequent to the date of this Agreement;</w:t>
      </w:r>
    </w:p>
    <w:p>
      <w:pPr>
        <w:pStyle w:val="Heading3"/>
        <w:rPr>
          <w:color w:val="000000"/>
          <w:lang w:val="en-CA"/>
        </w:rPr>
      </w:pPr>
      <w:bookmarkStart w:id="51" w:name="_Ref528912810"/>
      <w:bookmarkStart w:id="52" w:name="_DV_M963"/>
      <w:bookmarkEnd w:id="52"/>
      <w:r>
        <w:rPr>
          <w:color w:val="000000"/>
          <w:lang w:val="en-CA"/>
        </w:rPr>
        <w:t>in the case of Enron, shall not, and shall not permit any of its Subsidiaries to, (i)  </w:t>
      </w:r>
      <w:bookmarkStart w:id="53" w:name="_DV_M964"/>
      <w:bookmarkEnd w:id="53"/>
      <w:r>
        <w:rPr>
          <w:color w:val="000000"/>
          <w:lang w:val="en-CA"/>
        </w:rPr>
        <w:t>except (A)  </w:t>
      </w:r>
      <w:bookmarkStart w:id="54" w:name="_DV_M965"/>
      <w:bookmarkEnd w:id="54"/>
      <w:r>
        <w:rPr>
          <w:color w:val="000000"/>
          <w:lang w:val="en-CA"/>
        </w:rPr>
        <w:t>pursuant to the exercise of options, warrants, conversion rights and other contractual rights existing on the date hereof and disclosed pursuant to this Agreement or not required to be disclosed pursuant to this Agreement or (B)  </w:t>
      </w:r>
      <w:bookmarkStart w:id="55" w:name="_DV_M966"/>
      <w:bookmarkEnd w:id="55"/>
      <w:r>
        <w:rPr>
          <w:color w:val="000000"/>
          <w:lang w:val="en-CA"/>
        </w:rPr>
        <w:t xml:space="preserve">pursuant to the exercise of awards granted after the date hereof and expressly permitted under this Agreement or in connection with transactions permitted by </w:t>
      </w:r>
      <w:bookmarkStart w:id="56" w:name="_DV_M967"/>
      <w:bookmarkEnd w:id="56"/>
      <w:r>
        <w:rPr>
          <w:color w:val="000000"/>
          <w:lang w:val="en-CA"/>
        </w:rPr>
        <w:t>Section 7.1(j), issue or sell any shares of its capital stock in excess of $</w:t>
      </w:r>
      <w:bookmarkStart w:id="57" w:name="_DV_C597"/>
      <w:r>
        <w:rPr>
          <w:rStyle w:val="DeltaViewDeletion"/>
          <w:lang w:val="en-CA"/>
        </w:rPr>
        <w:t>______ million</w:t>
      </w:r>
      <w:bookmarkStart w:id="58" w:name="_DV_C598"/>
      <w:bookmarkEnd w:id="57"/>
      <w:r>
        <w:rPr>
          <w:rStyle w:val="DeltaViewInsertion"/>
          <w:lang w:val="en-CA"/>
        </w:rPr>
        <w:t>2.0 billion</w:t>
      </w:r>
      <w:bookmarkStart w:id="59" w:name="_DV_M968"/>
      <w:bookmarkEnd w:id="58"/>
      <w:bookmarkEnd w:id="59"/>
      <w:r>
        <w:rPr>
          <w:color w:val="000000"/>
          <w:lang w:val="en-CA"/>
        </w:rPr>
        <w:t xml:space="preserve"> in the aggregate</w:t>
      </w:r>
      <w:bookmarkStart w:id="60" w:name="_DV_C599"/>
      <w:r>
        <w:rPr>
          <w:rStyle w:val="DeltaViewInsertion"/>
          <w:lang w:val="en-CA"/>
        </w:rPr>
        <w:t xml:space="preserve"> (or such larger amount as (x) Enron may propose in order to prevent a downgrading provided for in clause (2) of the definition of Material Adverse Effect that shall not affect the intended accounting treatment set forth in the recitals to this Agreement and (y) Dynegy consents to in writing, which consent shall not be unreasonably withheld)</w:t>
      </w:r>
      <w:bookmarkStart w:id="61" w:name="_DV_M969"/>
      <w:bookmarkEnd w:id="60"/>
      <w:bookmarkEnd w:id="61"/>
      <w:r>
        <w:rPr>
          <w:color w:val="000000"/>
          <w:lang w:val="en-CA"/>
        </w:rPr>
        <w:t xml:space="preserve"> for all such issuances and sales</w:t>
      </w:r>
      <w:bookmarkStart w:id="62" w:name="_DV_C600"/>
      <w:r>
        <w:rPr>
          <w:rStyle w:val="DeltaViewInsertion"/>
          <w:lang w:val="en-CA"/>
        </w:rPr>
        <w:t xml:space="preserve"> (and provided that any such shares must be converted into Enron Common Stock prior to the Mergers if the Mergers are to occur)</w:t>
      </w:r>
      <w:bookmarkStart w:id="63" w:name="_DV_M970"/>
      <w:bookmarkEnd w:id="62"/>
      <w:bookmarkEnd w:id="63"/>
      <w:r>
        <w:rPr>
          <w:color w:val="000000"/>
          <w:lang w:val="en-CA"/>
        </w:rPr>
        <w:t>, effect any stock split or otherwise change its capitalization as it existed on the date hereof, (ii)  </w:t>
      </w:r>
      <w:bookmarkStart w:id="64" w:name="_DV_M971"/>
      <w:bookmarkEnd w:id="64"/>
      <w:r>
        <w:rPr>
          <w:color w:val="000000"/>
          <w:lang w:val="en-CA"/>
        </w:rPr>
        <w:t>grant, confer or award any option, warrant, conversion right or other right not existing on the date hereof to acquire any shares of its capital stock, (iii)  </w:t>
      </w:r>
      <w:bookmarkStart w:id="65" w:name="_DV_M972"/>
      <w:bookmarkEnd w:id="65"/>
      <w:r>
        <w:rPr>
          <w:color w:val="000000"/>
          <w:lang w:val="en-CA"/>
        </w:rPr>
        <w:t>amend or otherwise modify any option, warrant, conversion right or other right to acquire any shares of its capital stock existing on the date hereof, (iv)  </w:t>
      </w:r>
      <w:bookmarkStart w:id="66" w:name="_DV_M973"/>
      <w:bookmarkEnd w:id="66"/>
      <w:r>
        <w:rPr>
          <w:color w:val="000000"/>
          <w:lang w:val="en-CA"/>
        </w:rPr>
        <w:t>with respect to any of its former or present employees (</w:t>
      </w:r>
      <w:bookmarkStart w:id="67" w:name="_DV_C601"/>
      <w:r>
        <w:rPr>
          <w:rStyle w:val="DeltaViewDeletion"/>
          <w:lang w:val="en-CA"/>
        </w:rPr>
        <w:t>excluding</w:t>
      </w:r>
      <w:bookmarkStart w:id="68" w:name="_DV_C602"/>
      <w:bookmarkEnd w:id="67"/>
      <w:r>
        <w:rPr>
          <w:rStyle w:val="DeltaViewInsertion"/>
          <w:lang w:val="en-CA"/>
        </w:rPr>
        <w:t>including</w:t>
      </w:r>
      <w:bookmarkStart w:id="69" w:name="_DV_M974"/>
      <w:bookmarkEnd w:id="68"/>
      <w:bookmarkEnd w:id="69"/>
      <w:r>
        <w:rPr>
          <w:color w:val="000000"/>
          <w:lang w:val="en-CA"/>
        </w:rPr>
        <w:t xml:space="preserve"> officers and directors), increase any compensation or benefits, or enter into, amend or extend (or permit the extension of) any employment or consulting agreement, except in each case in the ordinary course of business consistent with past practice, (v)</w:t>
      </w:r>
      <w:bookmarkStart w:id="70" w:name="_DV_C603"/>
      <w:r>
        <w:rPr>
          <w:rStyle w:val="DeltaViewDeletion"/>
          <w:lang w:val="en-CA"/>
        </w:rPr>
        <w:t xml:space="preserve"> with respect to any of its former or present officers or directors, increase any compensation or benefits or enter into, amend or extend (or permit the extension of) any employment or consulting agreement, (vi) </w:t>
      </w:r>
      <w:bookmarkEnd w:id="70"/>
      <w:r>
        <w:rPr>
          <w:color w:val="000000"/>
          <w:lang w:val="en-CA"/>
        </w:rPr>
        <w:t> </w:t>
      </w:r>
      <w:bookmarkStart w:id="71" w:name="_DV_M975"/>
      <w:bookmarkEnd w:id="71"/>
      <w:r>
        <w:rPr>
          <w:color w:val="000000"/>
          <w:lang w:val="en-CA"/>
        </w:rPr>
        <w:t xml:space="preserve">adopt any new employee benefit plan or agreement (including any stock option, stock benefit or stock purchase plan) or amend (except as required by law) any existing employee benefit plan in any material respect, </w:t>
      </w:r>
      <w:bookmarkStart w:id="72" w:name="_DV_C604"/>
      <w:r>
        <w:rPr>
          <w:rStyle w:val="DeltaViewInsertion"/>
          <w:lang w:val="en-CA"/>
        </w:rPr>
        <w:t xml:space="preserve">except in the ordinary course of business consistent with past practice, </w:t>
      </w:r>
      <w:bookmarkStart w:id="73" w:name="_DV_M976"/>
      <w:bookmarkEnd w:id="72"/>
      <w:bookmarkEnd w:id="73"/>
      <w:r>
        <w:rPr>
          <w:color w:val="000000"/>
          <w:lang w:val="en-CA"/>
        </w:rPr>
        <w:t>or (</w:t>
      </w:r>
      <w:bookmarkStart w:id="74" w:name="_DV_C605"/>
      <w:r>
        <w:rPr>
          <w:rStyle w:val="DeltaViewDeletion"/>
          <w:lang w:val="en-CA"/>
        </w:rPr>
        <w:t>vii</w:t>
      </w:r>
      <w:bookmarkStart w:id="75" w:name="_DV_C606"/>
      <w:bookmarkEnd w:id="74"/>
      <w:r>
        <w:rPr>
          <w:rStyle w:val="DeltaViewInsertion"/>
          <w:lang w:val="en-CA"/>
        </w:rPr>
        <w:t>vi</w:t>
      </w:r>
      <w:bookmarkStart w:id="76" w:name="_DV_M977"/>
      <w:bookmarkEnd w:id="75"/>
      <w:bookmarkEnd w:id="76"/>
      <w:r>
        <w:rPr>
          <w:color w:val="000000"/>
          <w:lang w:val="en-CA"/>
        </w:rPr>
        <w:t>)  </w:t>
      </w:r>
      <w:bookmarkStart w:id="77" w:name="_DV_M978"/>
      <w:bookmarkEnd w:id="77"/>
      <w:r>
        <w:rPr>
          <w:color w:val="000000"/>
          <w:lang w:val="en-CA"/>
        </w:rPr>
        <w:t>permit any holder of an option to acquire shares of Enron Common Stock to have shares withheld upon exercise, for tax purposes, in excess of the number of shares needed to satisfy the minimum statutory withholding requirements for federal and state tax withholding;</w:t>
      </w:r>
      <w:bookmarkEnd w:id="51"/>
    </w:p>
    <w:p>
      <w:pPr>
        <w:pStyle w:val="BodyText"/>
        <w:rPr>
          <w:color w:val="000000"/>
          <w:lang w:val="en-CA"/>
        </w:rPr>
      </w:pPr>
      <w:bookmarkStart w:id="78" w:name="_DV_C729"/>
      <w:bookmarkStart w:id="79" w:name="_DV_IPM48"/>
      <w:bookmarkStart w:id="80" w:name="_DV_M1030"/>
      <w:bookmarkStart w:id="81" w:name="_DV_M979"/>
      <w:bookmarkEnd w:id="79"/>
      <w:bookmarkEnd w:id="80"/>
      <w:bookmarkEnd w:id="81"/>
      <w:r>
        <w:rPr>
          <w:rStyle w:val="DeltaViewInsertion"/>
          <w:lang w:val="en-CA"/>
        </w:rPr>
        <w:tab/>
        <w:tab/>
        <w:t>Section 7.17</w:t>
        <w:tab/>
      </w:r>
      <w:r>
        <w:rPr>
          <w:rStyle w:val="DeltaViewInsertion"/>
          <w:i/>
          <w:lang w:val="en-CA"/>
        </w:rPr>
        <w:t>Structure of Mergers.</w:t>
      </w:r>
      <w:r>
        <w:rPr>
          <w:rStyle w:val="DeltaViewInsertion"/>
          <w:lang w:val="en-CA"/>
        </w:rPr>
        <w:t xml:space="preserve">  The parties acknowledge that they would prefer to structure the transactions contemplated hereby in a manner that results in a single corporation with substantially all the senior debt (other that of regulated utility subsidiaries) of Dynegy, Dynegy Holdings Inc. (a subsidiary of Dynegy) and Enron, in lieu of the Mergers provided for herein. Accordingly, the parties agree to cooperate with each other in analyzing and determining such a structure that is advisable in connection with these transactions and promptly to execute and deliver an appropriate amendment to this Agreement to reflect such structure.</w:t>
      </w:r>
      <w:bookmarkStart w:id="82" w:name="_DV_M1451"/>
      <w:bookmarkStart w:id="83" w:name="_DV_M1222"/>
      <w:bookmarkEnd w:id="78"/>
      <w:bookmarkEnd w:id="82"/>
      <w:bookmarkEnd w:id="83"/>
    </w:p>
    <w:p>
      <w:pPr>
        <w:pStyle w:val="BodyText"/>
        <w:rPr>
          <w:i/>
          <w:i/>
          <w:vanish/>
          <w:color w:val="FF0000"/>
          <w:lang w:val="en-CA"/>
        </w:rPr>
      </w:pPr>
      <w:r>
        <w:rPr>
          <w:color w:val="000000"/>
          <w:lang w:val="en-CA"/>
        </w:rPr>
        <w:tab/>
        <w:tab/>
        <w:t>Section 10.9</w:t>
        <w:tab/>
      </w:r>
      <w:r>
        <w:rPr>
          <w:i/>
          <w:lang w:val="en-CA"/>
        </w:rPr>
        <w:t>Interpretation</w:t>
      </w:r>
    </w:p>
    <w:p>
      <w:pPr>
        <w:pStyle w:val="BodyText"/>
        <w:rPr/>
      </w:pPr>
      <w:bookmarkStart w:id="84" w:name="_DV_M1452"/>
      <w:bookmarkEnd w:id="84"/>
      <w:r>
        <w:rPr>
          <w:i/>
          <w:color w:val="000000"/>
          <w:lang w:val="en-CA"/>
        </w:rPr>
        <w:t>.</w:t>
      </w:r>
      <w:r>
        <w:rPr>
          <w:color w:val="000000"/>
          <w:lang w:val="en-CA"/>
        </w:rPr>
        <w:t xml:space="preserve">  In this Agreement:</w:t>
      </w:r>
    </w:p>
    <w:p>
      <w:pPr>
        <w:pStyle w:val="Heading3"/>
        <w:numPr>
          <w:ilvl w:val="0"/>
          <w:numId w:val="0"/>
        </w:numPr>
        <w:ind w:firstLine="720" w:start="720" w:end="0"/>
        <w:rPr>
          <w:color w:val="000000"/>
          <w:lang w:val="en-CA"/>
        </w:rPr>
      </w:pPr>
      <w:bookmarkStart w:id="85" w:name="_DV_M1453"/>
      <w:bookmarkEnd w:id="85"/>
      <w:r>
        <w:rPr>
          <w:color w:val="000000"/>
          <w:lang w:val="en-CA"/>
        </w:rPr>
        <w:t>(a)</w:t>
        <w:tab/>
        <w:t>Unless the context otherwise requires, words describing the singular number shall include the plural and vice versa, words denoting any gender shall include all genders, and words denoting natural persons shall include corporations and partnerships and vice versa.</w:t>
      </w:r>
      <w:bookmarkStart w:id="86" w:name="_DV_M1454"/>
      <w:bookmarkEnd w:id="86"/>
    </w:p>
    <w:p>
      <w:pPr>
        <w:pStyle w:val="Heading3"/>
        <w:numPr>
          <w:ilvl w:val="0"/>
          <w:numId w:val="0"/>
        </w:numPr>
        <w:ind w:firstLine="720" w:start="720" w:end="0"/>
        <w:rPr>
          <w:color w:val="000000"/>
          <w:lang w:val="en-CA"/>
        </w:rPr>
      </w:pPr>
      <w:r>
        <w:rPr>
          <w:color w:val="000000"/>
          <w:lang w:val="en-CA"/>
        </w:rPr>
        <w:t>(b)</w:t>
        <w:tab/>
        <w:t>The phrase “to the knowledge of” and similar phrases relating to knowledge of Enron or Dynegy, as the case may be, shall mean the actual knowledge of its executive officers.</w:t>
      </w:r>
      <w:bookmarkStart w:id="87" w:name="_Ref528934457"/>
      <w:bookmarkStart w:id="88" w:name="_DV_M1455"/>
      <w:bookmarkEnd w:id="88"/>
    </w:p>
    <w:p>
      <w:pPr>
        <w:pStyle w:val="Heading3"/>
        <w:numPr>
          <w:ilvl w:val="0"/>
          <w:numId w:val="0"/>
        </w:numPr>
        <w:spacing w:before="0" w:after="240"/>
        <w:ind w:firstLine="720" w:start="720" w:end="0"/>
        <w:rPr/>
      </w:pPr>
      <w:r>
        <w:rPr>
          <w:color w:val="000000"/>
          <w:lang w:val="en-CA"/>
        </w:rPr>
        <w:t>(c)</w:t>
        <w:tab/>
        <w:t xml:space="preserve">“Material Adverse Effect” with respect to any person shall mean </w:t>
      </w:r>
      <w:r>
        <w:rPr>
          <w:strike/>
          <w:color w:val="000000"/>
          <w:lang w:val="en-CA"/>
        </w:rPr>
        <w:t>(1)</w:t>
      </w:r>
      <w:r>
        <w:rPr>
          <w:color w:val="000000"/>
          <w:lang w:val="en-CA"/>
        </w:rPr>
        <w:t xml:space="preserve"> a material adverse effect on or change in the business, assets, liabilities, financial condition </w:t>
      </w:r>
      <w:r>
        <w:rPr>
          <w:rStyle w:val="DeltaViewInsertion"/>
          <w:lang w:val="en-CA"/>
        </w:rPr>
        <w:t xml:space="preserve">or </w:t>
      </w:r>
      <w:r>
        <w:rPr>
          <w:strike/>
          <w:color w:val="000000"/>
          <w:lang w:val="en-CA"/>
        </w:rPr>
        <w:t>,</w:t>
      </w:r>
      <w:r>
        <w:rPr>
          <w:color w:val="000000"/>
          <w:lang w:val="en-CA"/>
        </w:rPr>
        <w:t xml:space="preserve"> results of operations </w:t>
      </w:r>
      <w:r>
        <w:rPr>
          <w:strike/>
          <w:color w:val="000000"/>
          <w:lang w:val="en-CA"/>
        </w:rPr>
        <w:t xml:space="preserve">or prospects </w:t>
      </w:r>
      <w:r>
        <w:rPr>
          <w:color w:val="000000"/>
          <w:lang w:val="en-CA"/>
        </w:rPr>
        <w:t xml:space="preserve">of such person and its Subsidiaries, taken as a whole, or the ability of the party to consummate the transactions contemplated by this Agreement or fulfill the conditions to closing </w:t>
      </w:r>
      <w:r>
        <w:rPr>
          <w:strike/>
          <w:color w:val="000000"/>
          <w:lang w:val="en-CA"/>
        </w:rPr>
        <w:t xml:space="preserve">or (2) the downgrading of senior debt of the person to less than investment grade by Standard &amp; Poor’s Ratings Services, a division of The McGraw-Hill Companies, Inc., by Moody’s Investors Service, Inc. or by Fitch, Inc.  </w:t>
      </w:r>
      <w:r>
        <w:rPr>
          <w:color w:val="000000"/>
          <w:lang w:val="en-CA"/>
        </w:rPr>
        <w:t>“Enron Material Adverse Effect” and “Dynegy Material Adverse Effect” mean a Material Adverse Effect with respect to Enron and Dynegy, respectively.</w:t>
      </w:r>
      <w:bookmarkStart w:id="89" w:name="_DV_C809"/>
      <w:bookmarkEnd w:id="87"/>
      <w:r>
        <w:rPr>
          <w:rStyle w:val="DeltaViewInsertion"/>
          <w:lang w:val="en-CA"/>
        </w:rPr>
        <w:t xml:space="preserve">  For purposes of determining whether an Enron Material Adverse Effect has occurred from and after the date of this Agreement, to the extent that the liabilities and expenses from and after the date hereof associated with all pending or threatened litigation matters, in the reasonable judgment of Dynegy exercised in good faith after consultation with outside counsel experienced in such types of litigation, exceed, or are reasonably likely to exceed, $2 billion in the aggregate (net of proceeds of insurance and litigation reserves reflected on the September 30, 2001 Balance Sheet), the amount of such excess over $2 billion will be taken into account in determining whether an Enron Material Adverse Effect has occurred, and, in any event,</w:t>
      </w:r>
      <w:bookmarkEnd w:id="89"/>
      <w:r>
        <w:rPr>
          <w:color w:val="000000"/>
          <w:lang w:val="en-CA"/>
        </w:rPr>
        <w:t xml:space="preserve"> </w:t>
      </w:r>
      <w:bookmarkStart w:id="90" w:name="_DV_C810"/>
      <w:r>
        <w:rPr>
          <w:rStyle w:val="DeltaViewInsertion"/>
          <w:lang w:val="en-CA"/>
        </w:rPr>
        <w:t xml:space="preserve">if the amount of such excess exceeds, or is reasonably likely to exceed, $1.5 billion, an Enron Material Adverse Effect will be deemed to have occurred; </w:t>
      </w:r>
      <w:r>
        <w:rPr>
          <w:rStyle w:val="DeltaViewInsertion"/>
          <w:i/>
          <w:lang w:val="en-CA"/>
        </w:rPr>
        <w:t>provided, however,</w:t>
      </w:r>
      <w:r>
        <w:rPr>
          <w:rStyle w:val="DeltaViewInsertion"/>
          <w:lang w:val="en-CA"/>
        </w:rPr>
        <w:t xml:space="preserve"> that such $1.5 billion threshold shall have no implication, or be used, for purposes of interpreting any other provision or sentence of this Agreement, including, without limitation, interpreting whether an Enron Material Adverse Effect has occurred with respect to any matters other than litigation matters.</w:t>
      </w:r>
      <w:bookmarkEnd w:id="90"/>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mallCaps w:val="false"/>
        <w:caps w:val="false"/>
        <w:sz w:val="24"/>
        <w:spacing w:val="0"/>
        <w:i w:val="false"/>
        <w:u w:val="none"/>
        <w:b/>
        <w:color w:val="auto"/>
      </w:rPr>
    </w:lvl>
    <w:lvl w:ilvl="1">
      <w:start w:val="1"/>
      <w:pStyle w:val="Heading2"/>
      <w:isLgl/>
      <w:numFmt w:val="decimal"/>
      <w:lvlText w:val="Section %1.%2"/>
      <w:lvlJc w:val="start"/>
      <w:pPr>
        <w:tabs>
          <w:tab w:val="num" w:pos="2160"/>
        </w:tabs>
        <w:ind w:start="0" w:firstLine="1440"/>
      </w:pPr>
      <w:rPr>
        <w:smallCaps w:val="false"/>
        <w:caps w:val="false"/>
        <w:sz w:val="24"/>
        <w:spacing w:val="0"/>
        <w:i w:val="false"/>
        <w:u w:val="none"/>
        <w:b w:val="false"/>
        <w:rFonts w:ascii="Times New Roman" w:hAnsi="Times New Roman" w:cs="Times New Roman"/>
        <w:color w:val="auto"/>
      </w:rPr>
    </w:lvl>
    <w:lvl w:ilvl="2">
      <w:start w:val="1"/>
      <w:pStyle w:val="Heading3"/>
      <w:numFmt w:val="lowerLetter"/>
      <w:lvlText w:val="(%3)"/>
      <w:lvlJc w:val="start"/>
      <w:pPr>
        <w:tabs>
          <w:tab w:val="num" w:pos="2160"/>
        </w:tabs>
        <w:ind w:start="720" w:firstLine="720"/>
      </w:pPr>
      <w:rPr>
        <w:smallCaps w:val="false"/>
        <w:caps w:val="false"/>
        <w:sz w:val="24"/>
        <w:spacing w:val="0"/>
        <w:i w:val="false"/>
        <w:u w:val="none"/>
        <w:b w:val="false"/>
        <w:rFonts w:ascii="Times New Roman" w:hAnsi="Times New Roman" w:cs="Times New Roman"/>
        <w:color w:val="auto"/>
      </w:rPr>
    </w:lvl>
    <w:lvl w:ilvl="3">
      <w:start w:val="1"/>
      <w:pStyle w:val="Heading4"/>
      <w:numFmt w:val="lowerLetter"/>
      <w:lvlText w:val="(%4)"/>
      <w:lvlJc w:val="start"/>
      <w:pPr>
        <w:tabs>
          <w:tab w:val="num" w:pos="2160"/>
        </w:tabs>
        <w:ind w:start="0" w:firstLine="1440"/>
      </w:pPr>
      <w:rPr>
        <w:sz w:val="24"/>
        <w:spacing w:val="0"/>
        <w:b w:val="false"/>
        <w:rFonts w:ascii="Times New Roman" w:hAnsi="Times New Roman" w:cs="Times New Roman"/>
        <w:color w:val="auto"/>
      </w:rPr>
    </w:lvl>
    <w:lvl w:ilvl="4">
      <w:start w:val="1"/>
      <w:pStyle w:val="Heading5"/>
      <w:numFmt w:val="lowerRoman"/>
      <w:lvlText w:val="(%5)"/>
      <w:lvlJc w:val="start"/>
      <w:pPr>
        <w:tabs>
          <w:tab w:val="num" w:pos="2880"/>
        </w:tabs>
        <w:ind w:start="1440" w:firstLine="720"/>
      </w:pPr>
      <w:rPr>
        <w:sz w:val="24"/>
        <w:spacing w:val="0"/>
        <w:rFonts w:ascii="Times New Roman" w:hAnsi="Times New Roman" w:cs="Times New Roman"/>
        <w:color w:val="auto"/>
      </w:rPr>
    </w:lvl>
    <w:lvl w:ilvl="5">
      <w:start w:val="1"/>
      <w:pStyle w:val="Heading6"/>
      <w:numFmt w:val="upperLetter"/>
      <w:lvlText w:val="(%6)"/>
      <w:lvlJc w:val="start"/>
      <w:pPr>
        <w:tabs>
          <w:tab w:val="num" w:pos="2880"/>
        </w:tabs>
        <w:ind w:start="1440" w:firstLine="720"/>
      </w:pPr>
      <w:rPr>
        <w:sz w:val="24"/>
        <w:spacing w:val="0"/>
        <w:b w:val="false"/>
        <w:rFonts w:ascii="Times New Roman" w:hAnsi="Times New Roman" w:cs="Times New Roman"/>
        <w:color w:val="auto"/>
      </w:rPr>
    </w:lvl>
    <w:lvl w:ilvl="6">
      <w:start w:val="1"/>
      <w:pStyle w:val="Heading7"/>
      <w:numFmt w:val="decimal"/>
      <w:lvlText w:val="%7"/>
      <w:lvlJc w:val="start"/>
      <w:pPr>
        <w:tabs>
          <w:tab w:val="num" w:pos="2520"/>
        </w:tabs>
        <w:ind w:start="2520" w:hanging="360"/>
      </w:pPr>
      <w:rPr>
        <w:spacing w:val="0"/>
        <w:color w:val="auto"/>
      </w:rPr>
    </w:lvl>
    <w:lvl w:ilvl="7">
      <w:start w:val="1"/>
      <w:pStyle w:val="Heading8"/>
      <w:numFmt w:val="lowerLetter"/>
      <w:lvlText w:val="1%8"/>
      <w:lvlJc w:val="start"/>
      <w:pPr>
        <w:tabs>
          <w:tab w:val="num" w:pos="2880"/>
        </w:tabs>
        <w:ind w:start="2880" w:hanging="360"/>
      </w:pPr>
      <w:rPr>
        <w:spacing w:val="0"/>
        <w:color w:val="auto"/>
      </w:rPr>
    </w:lvl>
    <w:lvl w:ilvl="8">
      <w:start w:val="1"/>
      <w:pStyle w:val="Heading9"/>
      <w:numFmt w:val="lowerRoman"/>
      <w:lvlText w:val="%9."/>
      <w:lvlJc w:val="start"/>
      <w:pPr>
        <w:tabs>
          <w:tab w:val="num" w:pos="3240"/>
        </w:tabs>
        <w:ind w:start="3240" w:hanging="360"/>
      </w:pPr>
      <w:rPr>
        <w:spacing w:val="0"/>
        <w:color w:val="auto"/>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onvertNumbering" w:val="Converted"/>
    <w:docVar w:name="KNumTOC_Include_A1" w:val="Entire Paragraph"/>
    <w:docVar w:name="KNumTOC_Include_A2" w:val="Entire Paragraph"/>
    <w:docVar w:name="KNumTOC_Include_A3" w:val="Do Not Include"/>
    <w:docVar w:name="KNumTOC_Include_A4" w:val="Do Not Include"/>
    <w:docVar w:name="KNumTOC_Include_A5" w:val="Do Not Include"/>
    <w:docVar w:name="KNumTOC_Include_A6" w:val="Do Not Include"/>
    <w:docVar w:name="KNumTOC_Include_A7" w:val="Do Not Include"/>
    <w:docVar w:name="KNumTOC_Include_A8" w:val="Do Not Include"/>
    <w:docVar w:name="KNumTOC_Include_A9" w:val="Do Not Include"/>
    <w:docVar w:name="KNumTOC_Schemes" w:val="1"/>
    <w:docVar w:name="KNumTOC_ShiftEnter" w:val="0"/>
    <w:docVar w:name="LastListTemplate" w:val="A"/>
    <w:docVar w:name="MaxTemplate" w:val="A"/>
    <w:docVar w:name="RemoveBold" w:val="1"/>
    <w:docVar w:name="RemoveItalics" w:val="1"/>
    <w:docVar w:name="RemoveUnderline" w:val="1"/>
    <w:docVar w:name="SentenceDelimiter"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Text"/>
    <w:qFormat/>
    <w:pPr>
      <w:keepNext w:val="true"/>
      <w:keepLines/>
      <w:numPr>
        <w:ilvl w:val="0"/>
        <w:numId w:val="1"/>
      </w:numPr>
      <w:tabs>
        <w:tab w:val="clear" w:pos="720"/>
        <w:tab w:val="left" w:pos="0" w:leader="none"/>
      </w:tabs>
      <w:spacing w:before="0" w:after="240"/>
      <w:jc w:val="center"/>
      <w:outlineLvl w:val="0"/>
    </w:pPr>
    <w:rPr>
      <w:b/>
    </w:rPr>
  </w:style>
  <w:style w:type="paragraph" w:styleId="Heading2">
    <w:name w:val="heading 2"/>
    <w:basedOn w:val="Normal"/>
    <w:next w:val="BodyText"/>
    <w:qFormat/>
    <w:pPr>
      <w:numPr>
        <w:ilvl w:val="1"/>
        <w:numId w:val="1"/>
      </w:numPr>
      <w:tabs>
        <w:tab w:val="clear" w:pos="720"/>
        <w:tab w:val="left" w:pos="2160" w:leader="none"/>
      </w:tabs>
      <w:spacing w:before="0" w:after="240"/>
      <w:ind w:firstLine="1440" w:start="0" w:end="0"/>
      <w:outlineLvl w:val="1"/>
    </w:pPr>
    <w:rPr>
      <w:i/>
    </w:rPr>
  </w:style>
  <w:style w:type="paragraph" w:styleId="Heading3">
    <w:name w:val="heading 3"/>
    <w:basedOn w:val="Normal"/>
    <w:next w:val="BodyText"/>
    <w:qFormat/>
    <w:pPr>
      <w:numPr>
        <w:ilvl w:val="2"/>
        <w:numId w:val="1"/>
      </w:numPr>
      <w:tabs>
        <w:tab w:val="clear" w:pos="720"/>
        <w:tab w:val="left" w:pos="2160" w:leader="none"/>
      </w:tabs>
      <w:spacing w:before="0" w:after="240"/>
      <w:ind w:firstLine="720" w:start="720" w:end="0"/>
      <w:outlineLvl w:val="2"/>
    </w:pPr>
    <w:rPr/>
  </w:style>
  <w:style w:type="paragraph" w:styleId="Heading4">
    <w:name w:val="heading 4"/>
    <w:basedOn w:val="Normal"/>
    <w:next w:val="BodyText"/>
    <w:qFormat/>
    <w:pPr>
      <w:numPr>
        <w:ilvl w:val="3"/>
        <w:numId w:val="1"/>
      </w:numPr>
      <w:tabs>
        <w:tab w:val="clear" w:pos="720"/>
        <w:tab w:val="left" w:pos="2160" w:leader="none"/>
      </w:tabs>
      <w:spacing w:before="0" w:after="240"/>
      <w:ind w:firstLine="1440" w:start="0" w:end="0"/>
      <w:outlineLvl w:val="3"/>
    </w:pPr>
    <w:rPr/>
  </w:style>
  <w:style w:type="paragraph" w:styleId="Heading5">
    <w:name w:val="heading 5"/>
    <w:basedOn w:val="Normal"/>
    <w:next w:val="BodyText"/>
    <w:qFormat/>
    <w:pPr>
      <w:numPr>
        <w:ilvl w:val="4"/>
        <w:numId w:val="1"/>
      </w:numPr>
      <w:tabs>
        <w:tab w:val="clear" w:pos="720"/>
        <w:tab w:val="left" w:pos="2880" w:leader="none"/>
      </w:tabs>
      <w:spacing w:before="0" w:after="240"/>
      <w:ind w:firstLine="720" w:start="1440" w:end="0"/>
      <w:outlineLvl w:val="4"/>
    </w:pPr>
    <w:rPr/>
  </w:style>
  <w:style w:type="paragraph" w:styleId="Heading6">
    <w:name w:val="heading 6"/>
    <w:basedOn w:val="Normal"/>
    <w:next w:val="BodyText"/>
    <w:qFormat/>
    <w:pPr>
      <w:numPr>
        <w:ilvl w:val="5"/>
        <w:numId w:val="1"/>
      </w:numPr>
      <w:tabs>
        <w:tab w:val="clear" w:pos="720"/>
        <w:tab w:val="left" w:pos="2880" w:leader="none"/>
      </w:tabs>
      <w:spacing w:before="0" w:after="240"/>
      <w:ind w:firstLine="720" w:start="1440" w:end="0"/>
      <w:outlineLvl w:val="5"/>
    </w:pPr>
    <w:rPr/>
  </w:style>
  <w:style w:type="paragraph" w:styleId="Heading7">
    <w:name w:val="heading 7"/>
    <w:basedOn w:val="Normal"/>
    <w:next w:val="BodyText"/>
    <w:qFormat/>
    <w:pPr>
      <w:numPr>
        <w:ilvl w:val="6"/>
        <w:numId w:val="1"/>
      </w:numPr>
      <w:tabs>
        <w:tab w:val="clear" w:pos="720"/>
        <w:tab w:val="left" w:pos="2520" w:leader="none"/>
      </w:tabs>
      <w:ind w:hanging="360" w:start="2520" w:end="0"/>
      <w:outlineLvl w:val="6"/>
    </w:pPr>
    <w:rPr/>
  </w:style>
  <w:style w:type="paragraph" w:styleId="Heading8">
    <w:name w:val="heading 8"/>
    <w:basedOn w:val="Normal"/>
    <w:next w:val="BodyText"/>
    <w:qFormat/>
    <w:pPr>
      <w:numPr>
        <w:ilvl w:val="7"/>
        <w:numId w:val="1"/>
      </w:numPr>
      <w:tabs>
        <w:tab w:val="clear" w:pos="720"/>
        <w:tab w:val="left" w:pos="2880" w:leader="none"/>
      </w:tabs>
      <w:ind w:hanging="360" w:start="2880" w:end="0"/>
      <w:outlineLvl w:val="7"/>
    </w:pPr>
    <w:rPr/>
  </w:style>
  <w:style w:type="paragraph" w:styleId="Heading9">
    <w:name w:val="heading 9"/>
    <w:basedOn w:val="Normal"/>
    <w:next w:val="BodyText"/>
    <w:qFormat/>
    <w:pPr>
      <w:numPr>
        <w:ilvl w:val="8"/>
        <w:numId w:val="1"/>
      </w:numPr>
      <w:tabs>
        <w:tab w:val="clear" w:pos="720"/>
        <w:tab w:val="left" w:pos="3240" w:leader="none"/>
      </w:tabs>
      <w:ind w:hanging="360" w:start="3240" w:end="0"/>
      <w:outlineLvl w:val="8"/>
    </w:pPr>
    <w:rPr/>
  </w:style>
  <w:style w:type="character" w:styleId="WW8Num5z0">
    <w:name w:val="WW8Num5z0"/>
    <w:qFormat/>
    <w:rPr>
      <w:b/>
      <w:i w:val="false"/>
      <w:caps w:val="false"/>
      <w:smallCaps w:val="false"/>
      <w:color w:val="auto"/>
      <w:spacing w:val="0"/>
      <w:sz w:val="24"/>
      <w:u w:val="none"/>
    </w:rPr>
  </w:style>
  <w:style w:type="character" w:styleId="WW8Num5z1">
    <w:name w:val="WW8Num5z1"/>
    <w:qFormat/>
    <w:rPr>
      <w:rFonts w:ascii="Times New Roman" w:hAnsi="Times New Roman" w:cs="Times New Roman"/>
      <w:b w:val="false"/>
      <w:i w:val="false"/>
      <w:caps w:val="false"/>
      <w:smallCaps w:val="false"/>
      <w:color w:val="auto"/>
      <w:spacing w:val="0"/>
      <w:sz w:val="24"/>
      <w:u w:val="none"/>
    </w:rPr>
  </w:style>
  <w:style w:type="character" w:styleId="WW8Num5z3">
    <w:name w:val="WW8Num5z3"/>
    <w:qFormat/>
    <w:rPr>
      <w:rFonts w:ascii="Times New Roman" w:hAnsi="Times New Roman" w:cs="Times New Roman"/>
      <w:b w:val="false"/>
      <w:color w:val="auto"/>
      <w:spacing w:val="0"/>
      <w:sz w:val="24"/>
    </w:rPr>
  </w:style>
  <w:style w:type="character" w:styleId="WW8Num5z4">
    <w:name w:val="WW8Num5z4"/>
    <w:qFormat/>
    <w:rPr>
      <w:rFonts w:ascii="Times New Roman" w:hAnsi="Times New Roman" w:cs="Times New Roman"/>
      <w:color w:val="auto"/>
      <w:spacing w:val="0"/>
      <w:sz w:val="24"/>
    </w:rPr>
  </w:style>
  <w:style w:type="character" w:styleId="WW8Num5z6">
    <w:name w:val="WW8Num5z6"/>
    <w:qFormat/>
    <w:rPr>
      <w:color w:val="auto"/>
      <w:spacing w:val="0"/>
    </w:rPr>
  </w:style>
  <w:style w:type="character" w:styleId="WW8Num7z0">
    <w:name w:val="WW8Num7z0"/>
    <w:qFormat/>
    <w:rPr>
      <w:rFonts w:ascii="Times New Roman" w:hAnsi="Times New Roman" w:cs="Times New Roman"/>
      <w:b/>
      <w:color w:val="auto"/>
      <w:spacing w:val="0"/>
      <w:sz w:val="24"/>
    </w:rPr>
  </w:style>
  <w:style w:type="character" w:styleId="WW8Num7z1">
    <w:name w:val="WW8Num7z1"/>
    <w:qFormat/>
    <w:rPr>
      <w:rFonts w:ascii="Times New Roman" w:hAnsi="Times New Roman" w:cs="Times New Roman"/>
      <w:b w:val="false"/>
      <w:i w:val="false"/>
      <w:color w:val="auto"/>
      <w:spacing w:val="0"/>
      <w:sz w:val="24"/>
    </w:rPr>
  </w:style>
  <w:style w:type="character" w:styleId="WW8Num7z2">
    <w:name w:val="WW8Num7z2"/>
    <w:qFormat/>
    <w:rPr>
      <w:b w:val="false"/>
      <w:color w:val="auto"/>
      <w:spacing w:val="0"/>
    </w:rPr>
  </w:style>
  <w:style w:type="character" w:styleId="WW8Num7z3">
    <w:name w:val="WW8Num7z3"/>
    <w:qFormat/>
    <w:rPr>
      <w:rFonts w:ascii="Times New Roman" w:hAnsi="Times New Roman" w:cs="Times New Roman"/>
      <w:color w:val="auto"/>
      <w:spacing w:val="0"/>
      <w:sz w:val="24"/>
    </w:rPr>
  </w:style>
  <w:style w:type="character" w:styleId="WW8Num7z4">
    <w:name w:val="WW8Num7z4"/>
    <w:qFormat/>
    <w:rPr>
      <w:color w:val="auto"/>
      <w:spacing w:val="0"/>
    </w:rPr>
  </w:style>
  <w:style w:type="character" w:styleId="WW8NumSt17z0">
    <w:name w:val="WW8NumSt17z0"/>
    <w:qFormat/>
    <w:rPr>
      <w:b/>
      <w:i w:val="false"/>
      <w:caps w:val="false"/>
      <w:smallCaps w:val="false"/>
      <w:color w:val="auto"/>
      <w:spacing w:val="0"/>
      <w:sz w:val="24"/>
      <w:u w:val="none"/>
    </w:rPr>
  </w:style>
  <w:style w:type="character" w:styleId="WW8NumSt17z1">
    <w:name w:val="WW8NumSt17z1"/>
    <w:qFormat/>
    <w:rPr>
      <w:rFonts w:ascii="Times New Roman" w:hAnsi="Times New Roman" w:cs="Times New Roman"/>
      <w:b w:val="false"/>
      <w:i w:val="false"/>
      <w:caps w:val="false"/>
      <w:smallCaps w:val="false"/>
      <w:color w:val="auto"/>
      <w:spacing w:val="0"/>
      <w:sz w:val="24"/>
      <w:u w:val="none"/>
    </w:rPr>
  </w:style>
  <w:style w:type="character" w:styleId="WW8NumSt17z3">
    <w:name w:val="WW8NumSt17z3"/>
    <w:qFormat/>
    <w:rPr>
      <w:rFonts w:ascii="Times New Roman" w:hAnsi="Times New Roman" w:cs="Times New Roman"/>
      <w:b w:val="false"/>
      <w:color w:val="auto"/>
      <w:spacing w:val="0"/>
      <w:sz w:val="24"/>
    </w:rPr>
  </w:style>
  <w:style w:type="character" w:styleId="WW8NumSt17z4">
    <w:name w:val="WW8NumSt17z4"/>
    <w:qFormat/>
    <w:rPr>
      <w:rFonts w:ascii="Times New Roman" w:hAnsi="Times New Roman" w:cs="Times New Roman"/>
      <w:color w:val="auto"/>
      <w:spacing w:val="0"/>
      <w:sz w:val="24"/>
    </w:rPr>
  </w:style>
  <w:style w:type="character" w:styleId="WW8NumSt17z6">
    <w:name w:val="WW8NumSt17z6"/>
    <w:qFormat/>
    <w:rPr>
      <w:color w:val="auto"/>
      <w:spacing w:val="0"/>
    </w:rPr>
  </w:style>
  <w:style w:type="character" w:styleId="WW8NumSt18z0">
    <w:name w:val="WW8NumSt18z0"/>
    <w:qFormat/>
    <w:rPr>
      <w:b/>
      <w:i w:val="false"/>
      <w:caps w:val="false"/>
      <w:smallCaps w:val="false"/>
      <w:color w:val="auto"/>
      <w:spacing w:val="0"/>
      <w:sz w:val="24"/>
      <w:u w:val="none"/>
    </w:rPr>
  </w:style>
  <w:style w:type="character" w:styleId="WW8NumSt18z1">
    <w:name w:val="WW8NumSt18z1"/>
    <w:qFormat/>
    <w:rPr>
      <w:rFonts w:ascii="Times New Roman" w:hAnsi="Times New Roman" w:cs="Times New Roman"/>
      <w:b w:val="false"/>
      <w:i w:val="false"/>
      <w:caps w:val="false"/>
      <w:smallCaps w:val="false"/>
      <w:color w:val="auto"/>
      <w:spacing w:val="0"/>
      <w:sz w:val="24"/>
      <w:u w:val="none"/>
    </w:rPr>
  </w:style>
  <w:style w:type="character" w:styleId="WW8NumSt18z3">
    <w:name w:val="WW8NumSt18z3"/>
    <w:qFormat/>
    <w:rPr>
      <w:rFonts w:ascii="Times New Roman" w:hAnsi="Times New Roman" w:cs="Times New Roman"/>
      <w:b w:val="false"/>
      <w:color w:val="auto"/>
      <w:spacing w:val="0"/>
      <w:sz w:val="24"/>
    </w:rPr>
  </w:style>
  <w:style w:type="character" w:styleId="WW8NumSt18z4">
    <w:name w:val="WW8NumSt18z4"/>
    <w:qFormat/>
    <w:rPr>
      <w:rFonts w:ascii="Times New Roman" w:hAnsi="Times New Roman" w:cs="Times New Roman"/>
      <w:color w:val="auto"/>
      <w:spacing w:val="0"/>
      <w:sz w:val="24"/>
    </w:rPr>
  </w:style>
  <w:style w:type="character" w:styleId="WW8NumSt18z6">
    <w:name w:val="WW8NumSt18z6"/>
    <w:qFormat/>
    <w:rPr>
      <w:color w:val="auto"/>
      <w:spacing w:val="0"/>
    </w:rPr>
  </w:style>
  <w:style w:type="character" w:styleId="WW8NumSt23z0">
    <w:name w:val="WW8NumSt23z0"/>
    <w:qFormat/>
    <w:rPr>
      <w:b/>
      <w:i w:val="false"/>
      <w:caps w:val="false"/>
      <w:smallCaps w:val="false"/>
      <w:color w:val="000000"/>
      <w:spacing w:val="0"/>
      <w:sz w:val="24"/>
      <w:u w:val="double"/>
    </w:rPr>
  </w:style>
  <w:style w:type="character" w:styleId="WW8NumSt23z1">
    <w:name w:val="WW8NumSt23z1"/>
    <w:qFormat/>
    <w:rPr>
      <w:rFonts w:ascii="Times New Roman" w:hAnsi="Times New Roman" w:cs="Times New Roman"/>
      <w:b w:val="false"/>
      <w:i w:val="false"/>
      <w:caps w:val="false"/>
      <w:smallCaps w:val="false"/>
      <w:color w:val="000000"/>
      <w:spacing w:val="0"/>
      <w:sz w:val="24"/>
      <w:u w:val="double"/>
    </w:rPr>
  </w:style>
  <w:style w:type="character" w:styleId="WW8NumSt23z3">
    <w:name w:val="WW8NumSt23z3"/>
    <w:qFormat/>
    <w:rPr>
      <w:rFonts w:ascii="Times New Roman" w:hAnsi="Times New Roman" w:cs="Times New Roman"/>
      <w:b w:val="false"/>
      <w:color w:val="000000"/>
      <w:spacing w:val="0"/>
      <w:sz w:val="24"/>
      <w:u w:val="double"/>
    </w:rPr>
  </w:style>
  <w:style w:type="character" w:styleId="WW8NumSt23z4">
    <w:name w:val="WW8NumSt23z4"/>
    <w:qFormat/>
    <w:rPr>
      <w:rFonts w:ascii="Times New Roman" w:hAnsi="Times New Roman" w:cs="Times New Roman"/>
      <w:color w:val="000000"/>
      <w:spacing w:val="0"/>
      <w:sz w:val="24"/>
      <w:u w:val="double"/>
    </w:rPr>
  </w:style>
  <w:style w:type="character" w:styleId="WW8NumSt23z6">
    <w:name w:val="WW8NumSt23z6"/>
    <w:qFormat/>
    <w:rPr>
      <w:color w:val="000000"/>
      <w:spacing w:val="0"/>
      <w:u w:val="doub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CommentReference">
    <w:name w:val="Comment Reference"/>
    <w:basedOn w:val="DefaultParagraphFont"/>
    <w:qFormat/>
    <w:rPr>
      <w:spacing w:val="0"/>
      <w:sz w:val="16"/>
    </w:rPr>
  </w:style>
  <w:style w:type="character" w:styleId="DeltaViewInsertion">
    <w:name w:val="DeltaView Insertion"/>
    <w:qFormat/>
    <w:rPr>
      <w:color w:val="000000"/>
      <w:spacing w:val="0"/>
      <w:u w:val="double"/>
    </w:rPr>
  </w:style>
  <w:style w:type="character" w:styleId="DeltaViewDeletion">
    <w:name w:val="DeltaView Deletion"/>
    <w:qFormat/>
    <w:rPr>
      <w:strike/>
      <w:color w:val="000000"/>
      <w:spacing w:val="0"/>
    </w:rPr>
  </w:style>
  <w:style w:type="character" w:styleId="DeltaViewMoveSource">
    <w:name w:val="DeltaView Move Source"/>
    <w:qFormat/>
    <w:rPr>
      <w:strike/>
      <w:color w:val="000000"/>
      <w:spacing w:val="0"/>
    </w:rPr>
  </w:style>
  <w:style w:type="character" w:styleId="DeltaViewMoveDestination">
    <w:name w:val="DeltaView Move Destination"/>
    <w:qFormat/>
    <w:rPr>
      <w:color w:val="000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spacing w:before="0" w:after="240"/>
      <w:jc w:val="center"/>
    </w:pPr>
    <w:rPr>
      <w:kern w:val="2"/>
    </w:rPr>
  </w:style>
  <w:style w:type="paragraph" w:styleId="BodyText">
    <w:name w:val="Body Text"/>
    <w:basedOn w:val="Normal"/>
    <w:pPr>
      <w:spacing w:before="0" w:after="240"/>
    </w:pPr>
    <w:rPr/>
  </w:style>
  <w:style w:type="paragraph" w:styleId="List">
    <w:name w:val="List"/>
    <w:basedOn w:val="Normal"/>
    <w:pPr>
      <w:tabs>
        <w:tab w:val="clear" w:pos="720"/>
        <w:tab w:val="left" w:pos="7650" w:leader="dot"/>
      </w:tabs>
      <w:ind w:hanging="7650" w:start="7650" w:end="0"/>
      <w:jc w:val="start"/>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9360" w:leader="dot"/>
      </w:tabs>
      <w:spacing w:before="240" w:after="0"/>
      <w:ind w:hanging="1440" w:start="1440" w:end="432"/>
    </w:pPr>
    <w:rPr>
      <w:lang w:val="en-CA"/>
    </w:rPr>
  </w:style>
  <w:style w:type="paragraph" w:styleId="TOC2">
    <w:name w:val="toc 2"/>
    <w:basedOn w:val="Normal"/>
    <w:next w:val="Normal"/>
    <w:pPr>
      <w:tabs>
        <w:tab w:val="clear" w:pos="720"/>
        <w:tab w:val="left" w:pos="2160" w:leader="none"/>
        <w:tab w:val="right" w:pos="9360" w:leader="dot"/>
      </w:tabs>
      <w:ind w:hanging="1440" w:start="2160" w:end="432"/>
      <w:jc w:val="start"/>
    </w:pPr>
    <w:rPr>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BlockText">
    <w:name w:val="Block Text"/>
    <w:basedOn w:val="Normal"/>
    <w:qFormat/>
    <w:pPr>
      <w:spacing w:before="0" w:after="240"/>
      <w:ind w:hanging="0" w:start="1440" w:end="1440"/>
    </w:pPr>
    <w:rPr/>
  </w:style>
  <w:style w:type="paragraph" w:styleId="BodyText3">
    <w:name w:val="Body Text 3"/>
    <w:basedOn w:val="Normal"/>
    <w:qFormat/>
    <w:pPr>
      <w:spacing w:before="0" w:after="240"/>
      <w:ind w:firstLine="1440" w:start="0" w:end="0"/>
    </w:pPr>
    <w:rPr/>
  </w:style>
  <w:style w:type="paragraph" w:styleId="BodyTextFirstIndent">
    <w:name w:val="Body Text First Indent"/>
    <w:basedOn w:val="BodyText"/>
    <w:qFormat/>
    <w:pPr>
      <w:ind w:firstLine="1440" w:start="0" w:end="0"/>
    </w:pPr>
    <w:rPr/>
  </w:style>
  <w:style w:type="paragraph" w:styleId="BodyTextIndent">
    <w:name w:val="Body Text Indent"/>
    <w:basedOn w:val="Normal"/>
    <w:pPr>
      <w:keepLines/>
      <w:spacing w:before="0" w:after="240"/>
      <w:ind w:hanging="0" w:start="2880" w:end="0"/>
      <w:jc w:val="start"/>
    </w:pPr>
    <w:rPr/>
  </w:style>
  <w:style w:type="paragraph" w:styleId="BodyTextFirstIndent2">
    <w:name w:val="Body Text First Indent 2"/>
    <w:basedOn w:val="BodyTextIndent"/>
    <w:qFormat/>
    <w:pPr>
      <w:keepLines w:val="false"/>
      <w:ind w:firstLine="1440" w:start="720" w:end="0"/>
      <w:jc w:val="both"/>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Closing">
    <w:name w:val="Closing"/>
    <w:basedOn w:val="Normal"/>
    <w:qFormat/>
    <w:pPr>
      <w:ind w:hanging="0" w:start="5040" w:end="0"/>
    </w:pPr>
    <w:rPr/>
  </w:style>
  <w:style w:type="paragraph" w:styleId="Date">
    <w:name w:val="Date"/>
    <w:basedOn w:val="Normal"/>
    <w:next w:val="BodyText"/>
    <w:qFormat/>
    <w:pPr>
      <w:spacing w:before="0" w:after="240"/>
      <w:jc w:val="end"/>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NormalIndent">
    <w:name w:val="Normal Indent"/>
    <w:basedOn w:val="Normal"/>
    <w:qFormat/>
    <w:pPr>
      <w:spacing w:before="0" w:after="240"/>
      <w:ind w:firstLine="1440" w:start="0" w:end="0"/>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 w:type="paragraph" w:styleId="Signature">
    <w:name w:val="Signature"/>
    <w:basedOn w:val="Normal"/>
    <w:pPr>
      <w:keepLines/>
      <w:tabs>
        <w:tab w:val="clear" w:pos="720"/>
        <w:tab w:val="left" w:pos="5490" w:leader="none"/>
        <w:tab w:val="right" w:pos="9360" w:leader="none"/>
      </w:tabs>
      <w:spacing w:before="0" w:after="600"/>
      <w:ind w:hanging="0" w:start="5040" w:end="0"/>
      <w:jc w:val="start"/>
    </w:pPr>
    <w:rPr/>
  </w:style>
  <w:style w:type="paragraph" w:styleId="Subtitle">
    <w:name w:val="Subtitle"/>
    <w:basedOn w:val="Normal"/>
    <w:next w:val="BodyText"/>
    <w:qFormat/>
    <w:pPr>
      <w:jc w:val="center"/>
    </w:pPr>
    <w:rPr/>
  </w:style>
  <w:style w:type="paragraph" w:styleId="TOAHeading">
    <w:name w:val="TOA Heading"/>
    <w:basedOn w:val="Normal"/>
    <w:next w:val="Normal"/>
    <w:qFormat/>
    <w:pPr>
      <w:spacing w:before="120" w:after="0"/>
    </w:pPr>
    <w:rPr>
      <w:b/>
    </w:rPr>
  </w:style>
  <w:style w:type="paragraph" w:styleId="TCHeading2">
    <w:name w:val="TCHeading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DocumentMap">
    <w:name w:val="Document Map"/>
    <w:basedOn w:val="Normal"/>
    <w:qFormat/>
    <w:pPr>
      <w:shd w:fill="000080" w:val="clear"/>
    </w:pPr>
    <w:rPr>
      <w:rFonts w:ascii="Tahoma" w:hAnsi="Tahoma" w:cs="Tahoma"/>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style>
  <w:style w:type="paragraph" w:styleId="DeltaViewTableHeading">
    <w:name w:val="DeltaView Table Heading"/>
    <w:basedOn w:val="Normal"/>
    <w:qFormat/>
    <w:pPr>
      <w:spacing w:before="0" w:after="120"/>
      <w:jc w:val="start"/>
    </w:pPr>
    <w:rPr>
      <w:rFonts w:ascii="Arial" w:hAnsi="Arial" w:cs="Arial"/>
      <w:b/>
    </w:rPr>
  </w:style>
  <w:style w:type="paragraph" w:styleId="DeltaViewTableBody">
    <w:name w:val="DeltaView Table Body"/>
    <w:basedOn w:val="Normal"/>
    <w:qFormat/>
    <w:pPr>
      <w:jc w:val="start"/>
    </w:pPr>
    <w:rPr>
      <w:rFonts w:ascii="Arial" w:hAnsi="Arial" w:cs="Arial"/>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eastAsia="en-US" w:bidi="hi-IN"/>
    </w:rPr>
  </w:style>
  <w:style w:type="paragraph" w:styleId="CommentText">
    <w:name w:val="Comment Text"/>
    <w:basedOn w:val="Normal"/>
    <w:qFormat/>
    <w:pPr>
      <w:jc w:val="start"/>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2001-11-08T23:28:00Z</dcterms:created>
  <dc:creator> </dc:creator>
  <dc:description>HOU03:809445.10</dc:description>
  <dc:language>en-CA</dc:language>
  <cp:lastModifiedBy> </cp:lastModifiedBy>
  <cp:lastPrinted>2001-11-08T15:47:00Z</cp:lastPrinted>
  <dcterms:modified xsi:type="dcterms:W3CDTF">2001-11-08T23:28:00Z</dcterms:modified>
  <cp:revision>2</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16-Jul-2001</vt:lpwstr>
  </property>
  <property fmtid="{D5CDD505-2E9C-101B-9397-08002B2CF9AE}" pid="3" name="Converted State">
    <vt:lpwstr>True</vt:lpwstr>
  </property>
  <property fmtid="{D5CDD505-2E9C-101B-9397-08002B2CF9AE}" pid="4" name="Date Sent">
    <vt:r8>5</vt:r8>
  </property>
  <property fmtid="{D5CDD505-2E9C-101B-9397-08002B2CF9AE}" pid="5" name="DeltaView File">
    <vt:bool>1</vt:bool>
  </property>
  <property fmtid="{D5CDD505-2E9C-101B-9397-08002B2CF9AE}" pid="6" name="Original File">
    <vt:lpwstr>\\BBHOUP01\SYS\DOCS\JMAYOR\AG\JT3V01_.DOC</vt:lpwstr>
  </property>
  <property fmtid="{D5CDD505-2E9C-101B-9397-08002B2CF9AE}" pid="7" name="PaperType">
    <vt:lpwstr>Letter (Draft)</vt:lpwstr>
  </property>
  <property fmtid="{D5CDD505-2E9C-101B-9397-08002B2CF9AE}" pid="8" name="WPClean Version">
    <vt:lpwstr>2.0.0.19</vt:lpwstr>
  </property>
</Properties>
</file>