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z w:val="32"/>
        </w:rPr>
      </w:pPr>
      <w:r>
        <w:rPr>
          <w:b/>
          <w:color w:val="000000"/>
          <w:sz w:val="32"/>
        </w:rPr>
        <w:t>Docket No. 23220</w:t>
      </w:r>
    </w:p>
    <w:p>
      <w:pPr>
        <w:pStyle w:val="Normal"/>
        <w:jc w:val="center"/>
        <w:rPr>
          <w:b/>
          <w:color w:val="000000"/>
          <w:sz w:val="32"/>
        </w:rPr>
      </w:pPr>
      <w:r>
        <w:rPr>
          <w:b/>
          <w:color w:val="000000"/>
          <w:sz w:val="32"/>
        </w:rPr>
        <w:t>Technical Conference</w:t>
      </w:r>
    </w:p>
    <w:p>
      <w:pPr>
        <w:pStyle w:val="Normal"/>
        <w:jc w:val="center"/>
        <w:rPr>
          <w:b/>
          <w:color w:val="000000"/>
          <w:sz w:val="32"/>
        </w:rPr>
      </w:pPr>
      <w:r>
        <w:rPr>
          <w:b/>
          <w:color w:val="000000"/>
          <w:sz w:val="32"/>
        </w:rPr>
        <w:t>January 5, 2001</w:t>
      </w:r>
    </w:p>
    <w:p>
      <w:pPr>
        <w:pStyle w:val="Normal"/>
        <w:jc w:val="center"/>
        <w:rPr>
          <w:b/>
          <w:color w:val="000000"/>
          <w:sz w:val="32"/>
        </w:rPr>
      </w:pPr>
      <w:r>
        <w:rPr>
          <w:b/>
          <w:color w:val="000000"/>
          <w:sz w:val="32"/>
        </w:rPr>
      </w:r>
    </w:p>
    <w:p>
      <w:pPr>
        <w:pStyle w:val="Normal"/>
        <w:jc w:val="center"/>
        <w:rPr>
          <w:b/>
          <w:color w:val="000000"/>
          <w:sz w:val="32"/>
        </w:rPr>
      </w:pPr>
      <w:r>
        <w:rPr>
          <w:b/>
          <w:color w:val="000000"/>
          <w:sz w:val="32"/>
        </w:rPr>
        <w:t>PUC Staff Selected Questions</w:t>
      </w:r>
    </w:p>
    <w:p>
      <w:pPr>
        <w:pStyle w:val="Normal"/>
        <w:rPr>
          <w:b/>
          <w:color w:val="000000"/>
          <w:sz w:val="32"/>
        </w:rPr>
      </w:pPr>
      <w:r>
        <w:rPr>
          <w:b/>
          <w:color w:val="000000"/>
          <w:sz w:val="32"/>
        </w:rPr>
      </w:r>
    </w:p>
    <w:p>
      <w:pPr>
        <w:pStyle w:val="Normal"/>
        <w:rPr>
          <w:color w:val="000000"/>
        </w:rPr>
      </w:pPr>
      <w:r>
        <w:rPr>
          <w:color w:val="000000"/>
        </w:rPr>
      </w:r>
    </w:p>
    <w:p>
      <w:pPr>
        <w:pStyle w:val="Normal"/>
        <w:numPr>
          <w:ilvl w:val="0"/>
          <w:numId w:val="5"/>
        </w:numPr>
        <w:rPr>
          <w:color w:val="000000"/>
        </w:rPr>
      </w:pPr>
      <w:r>
        <w:rPr>
          <w:color w:val="000000"/>
        </w:rPr>
        <w:t>In developing a balanced schedule, whose forecast should be used (ERCOT's vs. Utility's forecast)?  How is ERCOT dealing with forecast uncertainty?  Most importantly, how is the forecasting error allocated if ERCOT's forecast is used?</w:t>
      </w:r>
    </w:p>
    <w:p>
      <w:pPr>
        <w:pStyle w:val="Normal"/>
        <w:rPr>
          <w:color w:val="000000"/>
        </w:rPr>
      </w:pPr>
      <w:r>
        <w:rPr>
          <w:color w:val="000000"/>
        </w:rPr>
      </w:r>
    </w:p>
    <w:p>
      <w:pPr>
        <w:pStyle w:val="Normal"/>
        <w:numPr>
          <w:ilvl w:val="0"/>
          <w:numId w:val="5"/>
        </w:numPr>
        <w:rPr/>
      </w:pPr>
      <w:r>
        <w:rPr/>
        <w:t>Please provide a simple and clear example to explain the operation of the Ancillary Services Markets for Regulation Up, Regulation Down, Responsive Reserve, and Non-Spinning Reserve.  In particular, please emphasize on the following areas:</w:t>
      </w:r>
    </w:p>
    <w:p>
      <w:pPr>
        <w:pStyle w:val="Normal"/>
        <w:rPr/>
      </w:pPr>
      <w:r>
        <w:rPr/>
      </w:r>
    </w:p>
    <w:p>
      <w:pPr>
        <w:pStyle w:val="Normal"/>
        <w:numPr>
          <w:ilvl w:val="0"/>
          <w:numId w:val="8"/>
        </w:numPr>
        <w:tabs>
          <w:tab w:val="left" w:pos="720" w:leader="none"/>
        </w:tabs>
        <w:ind w:hanging="360" w:start="720" w:end="0"/>
        <w:rPr/>
      </w:pPr>
      <w:r>
        <w:rPr/>
        <w:t>Determination of MCPC for each AS product</w:t>
      </w:r>
    </w:p>
    <w:p>
      <w:pPr>
        <w:pStyle w:val="Normal"/>
        <w:numPr>
          <w:ilvl w:val="0"/>
          <w:numId w:val="8"/>
        </w:numPr>
        <w:tabs>
          <w:tab w:val="left" w:pos="720" w:leader="none"/>
        </w:tabs>
        <w:ind w:hanging="360" w:start="720" w:end="0"/>
        <w:rPr/>
      </w:pPr>
      <w:r>
        <w:rPr/>
        <w:t>Determination of MCPC if there are zonal differences in ERCOT for each AS product</w:t>
      </w:r>
    </w:p>
    <w:p>
      <w:pPr>
        <w:pStyle w:val="Normal"/>
        <w:numPr>
          <w:ilvl w:val="0"/>
          <w:numId w:val="8"/>
        </w:numPr>
        <w:tabs>
          <w:tab w:val="left" w:pos="720" w:leader="none"/>
        </w:tabs>
        <w:ind w:hanging="360" w:start="720" w:end="0"/>
        <w:rPr/>
      </w:pPr>
      <w:r>
        <w:rPr/>
        <w:t>Determination of MCPE if each of these AS products are deployed</w:t>
      </w:r>
    </w:p>
    <w:p>
      <w:pPr>
        <w:pStyle w:val="Normal"/>
        <w:numPr>
          <w:ilvl w:val="0"/>
          <w:numId w:val="8"/>
        </w:numPr>
        <w:tabs>
          <w:tab w:val="left" w:pos="720" w:leader="none"/>
        </w:tabs>
        <w:ind w:hanging="360" w:start="720" w:end="0"/>
        <w:rPr/>
      </w:pPr>
      <w:r>
        <w:rPr>
          <w:color w:val="000000"/>
        </w:rPr>
        <w:t>Reliance on optimization models, if any, to select AS (succinct description of the model)</w:t>
      </w:r>
    </w:p>
    <w:p>
      <w:pPr>
        <w:pStyle w:val="Normal"/>
        <w:numPr>
          <w:ilvl w:val="0"/>
          <w:numId w:val="8"/>
        </w:numPr>
        <w:tabs>
          <w:tab w:val="left" w:pos="720" w:leader="none"/>
        </w:tabs>
        <w:ind w:hanging="360" w:start="720" w:end="0"/>
        <w:rPr/>
      </w:pPr>
      <w:r>
        <w:rPr/>
        <w:t>Actions to be taken if there is insufficiency of bids</w:t>
      </w:r>
    </w:p>
    <w:p>
      <w:pPr>
        <w:pStyle w:val="Normal"/>
        <w:rPr/>
      </w:pPr>
      <w:r>
        <w:rPr/>
      </w:r>
    </w:p>
    <w:p>
      <w:pPr>
        <w:pStyle w:val="Normal"/>
        <w:numPr>
          <w:ilvl w:val="0"/>
          <w:numId w:val="5"/>
        </w:numPr>
        <w:rPr/>
      </w:pPr>
      <w:r>
        <w:rPr/>
        <w:t xml:space="preserve">Please provide a simple and clear example to explain the operation of the Ancillary Services Market for Replacement Reserve.  In particular, please emphasize on the following areas: </w:t>
      </w:r>
    </w:p>
    <w:p>
      <w:pPr>
        <w:pStyle w:val="Normal"/>
        <w:rPr/>
      </w:pPr>
      <w:r>
        <w:rPr/>
      </w:r>
    </w:p>
    <w:p>
      <w:pPr>
        <w:pStyle w:val="Normal"/>
        <w:numPr>
          <w:ilvl w:val="0"/>
          <w:numId w:val="2"/>
        </w:numPr>
        <w:tabs>
          <w:tab w:val="left" w:pos="720" w:leader="none"/>
        </w:tabs>
        <w:ind w:hanging="360" w:start="720" w:end="0"/>
        <w:rPr/>
      </w:pPr>
      <w:r>
        <w:rPr/>
        <w:t>Determination of MCPC and the amount for Replacement Reserve</w:t>
      </w:r>
    </w:p>
    <w:p>
      <w:pPr>
        <w:pStyle w:val="Normal"/>
        <w:numPr>
          <w:ilvl w:val="0"/>
          <w:numId w:val="2"/>
        </w:numPr>
        <w:tabs>
          <w:tab w:val="left" w:pos="720" w:leader="none"/>
        </w:tabs>
        <w:ind w:hanging="360" w:start="720" w:end="0"/>
        <w:rPr/>
      </w:pPr>
      <w:r>
        <w:rPr/>
        <w:t>Determination of MCPC and the amount if there are zonal differences in ERCOT for Replacement Reserve</w:t>
      </w:r>
    </w:p>
    <w:p>
      <w:pPr>
        <w:pStyle w:val="Normal"/>
        <w:numPr>
          <w:ilvl w:val="0"/>
          <w:numId w:val="2"/>
        </w:numPr>
        <w:tabs>
          <w:tab w:val="left" w:pos="720" w:leader="none"/>
        </w:tabs>
        <w:ind w:hanging="360" w:start="720" w:end="0"/>
        <w:rPr/>
      </w:pPr>
      <w:r>
        <w:rPr/>
        <w:t>Determination of MCPE for a unit being deployed</w:t>
      </w:r>
    </w:p>
    <w:p>
      <w:pPr>
        <w:pStyle w:val="Normal"/>
        <w:numPr>
          <w:ilvl w:val="0"/>
          <w:numId w:val="2"/>
        </w:numPr>
        <w:tabs>
          <w:tab w:val="left" w:pos="720" w:leader="none"/>
        </w:tabs>
        <w:ind w:hanging="360" w:start="720" w:end="0"/>
        <w:rPr/>
      </w:pPr>
      <w:r>
        <w:rPr/>
        <w:t>In the event that two or more resources can equally be deployed, what is the mechanism to select the winning resource?  What are the capacity and energy payments?</w:t>
      </w:r>
    </w:p>
    <w:p>
      <w:pPr>
        <w:pStyle w:val="Normal"/>
        <w:numPr>
          <w:ilvl w:val="0"/>
          <w:numId w:val="2"/>
        </w:numPr>
        <w:tabs>
          <w:tab w:val="left" w:pos="720" w:leader="none"/>
        </w:tabs>
        <w:ind w:hanging="360" w:start="720" w:end="0"/>
        <w:rPr/>
      </w:pPr>
      <w:r>
        <w:rPr>
          <w:color w:val="000000"/>
        </w:rPr>
        <w:t>Reliance on optimization models, if any, to select Replacement Reserve (succinct description of the model)</w:t>
      </w:r>
    </w:p>
    <w:p>
      <w:pPr>
        <w:pStyle w:val="Normal"/>
        <w:numPr>
          <w:ilvl w:val="0"/>
          <w:numId w:val="2"/>
        </w:numPr>
        <w:tabs>
          <w:tab w:val="left" w:pos="720" w:leader="none"/>
        </w:tabs>
        <w:ind w:hanging="360" w:start="720" w:end="0"/>
        <w:rPr/>
      </w:pPr>
      <w:r>
        <w:rPr>
          <w:color w:val="000000"/>
        </w:rPr>
        <w:t>Reliance on RMR units</w:t>
      </w:r>
    </w:p>
    <w:p>
      <w:pPr>
        <w:pStyle w:val="Normal"/>
        <w:numPr>
          <w:ilvl w:val="0"/>
          <w:numId w:val="2"/>
        </w:numPr>
        <w:tabs>
          <w:tab w:val="left" w:pos="720" w:leader="none"/>
        </w:tabs>
        <w:ind w:hanging="360" w:start="720" w:end="0"/>
        <w:rPr/>
      </w:pPr>
      <w:r>
        <w:rPr/>
        <w:t>Actions to be taken if there is insufficiency of bids</w:t>
      </w:r>
    </w:p>
    <w:p>
      <w:pPr>
        <w:pStyle w:val="Normal"/>
        <w:rPr/>
      </w:pPr>
      <w:r>
        <w:rPr/>
      </w:r>
    </w:p>
    <w:p>
      <w:pPr>
        <w:pStyle w:val="Normal"/>
        <w:numPr>
          <w:ilvl w:val="0"/>
          <w:numId w:val="5"/>
        </w:numPr>
        <w:rPr/>
      </w:pPr>
      <w:r>
        <w:rPr/>
        <w:t xml:space="preserve">Please provide a simple and clear example to explain the operation of Balancing Energy Market.  In particular, please emphasize on the following areas: </w:t>
      </w:r>
    </w:p>
    <w:p>
      <w:pPr>
        <w:pStyle w:val="Normal"/>
        <w:rPr/>
      </w:pPr>
      <w:r>
        <w:rPr/>
      </w:r>
    </w:p>
    <w:p>
      <w:pPr>
        <w:pStyle w:val="Normal"/>
        <w:numPr>
          <w:ilvl w:val="0"/>
          <w:numId w:val="6"/>
        </w:numPr>
        <w:tabs>
          <w:tab w:val="left" w:pos="720" w:leader="none"/>
        </w:tabs>
        <w:ind w:hanging="360" w:start="720" w:end="0"/>
        <w:rPr/>
      </w:pPr>
      <w:r>
        <w:rPr>
          <w:color w:val="000000"/>
        </w:rPr>
        <w:t>How is the aggregate Balancing Energy bid curve derived (taking into account ramp rates and commercial zones)?</w:t>
      </w:r>
    </w:p>
    <w:p>
      <w:pPr>
        <w:pStyle w:val="Normal"/>
        <w:numPr>
          <w:ilvl w:val="0"/>
          <w:numId w:val="6"/>
        </w:numPr>
        <w:tabs>
          <w:tab w:val="left" w:pos="720" w:leader="none"/>
        </w:tabs>
        <w:ind w:hanging="360" w:start="720" w:end="0"/>
        <w:rPr/>
      </w:pPr>
      <w:r>
        <w:rPr/>
        <w:t>Determination of MCPE and the amount of energy deployed</w:t>
      </w:r>
    </w:p>
    <w:p>
      <w:pPr>
        <w:pStyle w:val="Normal"/>
        <w:numPr>
          <w:ilvl w:val="0"/>
          <w:numId w:val="6"/>
        </w:numPr>
        <w:tabs>
          <w:tab w:val="left" w:pos="720" w:leader="none"/>
        </w:tabs>
        <w:ind w:hanging="360" w:start="720" w:end="0"/>
        <w:rPr/>
      </w:pPr>
      <w:r>
        <w:rPr/>
        <w:t>Determination of MCPE and the amount of energy deployed if there are zonal congestion in ERCOT</w:t>
      </w:r>
    </w:p>
    <w:p>
      <w:pPr>
        <w:pStyle w:val="Normal"/>
        <w:numPr>
          <w:ilvl w:val="0"/>
          <w:numId w:val="6"/>
        </w:numPr>
        <w:tabs>
          <w:tab w:val="left" w:pos="720" w:leader="none"/>
        </w:tabs>
        <w:ind w:hanging="360" w:start="720" w:end="0"/>
        <w:rPr/>
      </w:pPr>
      <w:r>
        <w:rPr>
          <w:color w:val="000000"/>
        </w:rPr>
        <w:t>Reliance on optimization models, if any, to select Balancing Energy (succinct description of the model)</w:t>
      </w:r>
    </w:p>
    <w:p>
      <w:pPr>
        <w:pStyle w:val="Normal"/>
        <w:numPr>
          <w:ilvl w:val="0"/>
          <w:numId w:val="6"/>
        </w:numPr>
        <w:tabs>
          <w:tab w:val="left" w:pos="720" w:leader="none"/>
        </w:tabs>
        <w:ind w:hanging="360" w:start="720" w:end="0"/>
        <w:rPr/>
      </w:pPr>
      <w:r>
        <w:rPr/>
        <w:t>Actions to be taken if there is insufficiency of bids</w:t>
      </w:r>
    </w:p>
    <w:p>
      <w:pPr>
        <w:pStyle w:val="Normal"/>
        <w:rPr/>
      </w:pPr>
      <w:r>
        <w:rPr/>
      </w:r>
    </w:p>
    <w:p>
      <w:pPr>
        <w:pStyle w:val="Normal"/>
        <w:numPr>
          <w:ilvl w:val="0"/>
          <w:numId w:val="5"/>
        </w:numPr>
        <w:rPr/>
      </w:pPr>
      <w:r>
        <w:rPr/>
        <w:t xml:space="preserve">Please provide a simple and clear example to explain the clearing of congestion management.  In particular, please emphasize on the following areas (please feel free to use congestion management example at the end of this list of questions): </w:t>
      </w:r>
    </w:p>
    <w:p>
      <w:pPr>
        <w:pStyle w:val="Normal"/>
        <w:rPr/>
      </w:pPr>
      <w:r>
        <w:rPr/>
      </w:r>
    </w:p>
    <w:p>
      <w:pPr>
        <w:pStyle w:val="Normal"/>
        <w:numPr>
          <w:ilvl w:val="0"/>
          <w:numId w:val="7"/>
        </w:numPr>
        <w:tabs>
          <w:tab w:val="left" w:pos="720" w:leader="none"/>
        </w:tabs>
        <w:ind w:hanging="360" w:start="720" w:end="0"/>
        <w:rPr/>
      </w:pPr>
      <w:r>
        <w:rPr/>
        <w:t>Determination of MCPC for the selected resource(s)</w:t>
      </w:r>
    </w:p>
    <w:p>
      <w:pPr>
        <w:pStyle w:val="Normal"/>
        <w:numPr>
          <w:ilvl w:val="0"/>
          <w:numId w:val="7"/>
        </w:numPr>
        <w:tabs>
          <w:tab w:val="left" w:pos="720" w:leader="none"/>
        </w:tabs>
        <w:ind w:hanging="360" w:start="720" w:end="0"/>
        <w:rPr/>
      </w:pPr>
      <w:r>
        <w:rPr/>
        <w:t>Determination of MCPE for selected resource(s) deployed to clear congestion</w:t>
      </w:r>
    </w:p>
    <w:p>
      <w:pPr>
        <w:pStyle w:val="Normal"/>
        <w:numPr>
          <w:ilvl w:val="0"/>
          <w:numId w:val="7"/>
        </w:numPr>
        <w:tabs>
          <w:tab w:val="left" w:pos="720" w:leader="none"/>
        </w:tabs>
        <w:ind w:hanging="360" w:start="720" w:end="0"/>
        <w:rPr/>
      </w:pPr>
      <w:r>
        <w:rPr/>
        <w:t>Reliance on the use of selective incs and decs</w:t>
      </w:r>
    </w:p>
    <w:p>
      <w:pPr>
        <w:pStyle w:val="Normal"/>
        <w:numPr>
          <w:ilvl w:val="0"/>
          <w:numId w:val="7"/>
        </w:numPr>
        <w:tabs>
          <w:tab w:val="left" w:pos="720" w:leader="none"/>
        </w:tabs>
        <w:ind w:hanging="360" w:start="720" w:end="0"/>
        <w:rPr/>
      </w:pPr>
      <w:r>
        <w:rPr>
          <w:color w:val="000000"/>
        </w:rPr>
        <w:t>Reliance on optimization models, if any, to manage congestion (succinct description of the model)</w:t>
      </w:r>
    </w:p>
    <w:p>
      <w:pPr>
        <w:pStyle w:val="Normal"/>
        <w:numPr>
          <w:ilvl w:val="0"/>
          <w:numId w:val="7"/>
        </w:numPr>
        <w:tabs>
          <w:tab w:val="left" w:pos="720" w:leader="none"/>
        </w:tabs>
        <w:ind w:hanging="360" w:start="720" w:end="0"/>
        <w:rPr/>
      </w:pPr>
      <w:r>
        <w:rPr>
          <w:color w:val="000000"/>
        </w:rPr>
        <w:t>Reliance on RMR units</w:t>
      </w:r>
    </w:p>
    <w:p>
      <w:pPr>
        <w:pStyle w:val="Normal"/>
        <w:numPr>
          <w:ilvl w:val="0"/>
          <w:numId w:val="7"/>
        </w:numPr>
        <w:tabs>
          <w:tab w:val="left" w:pos="720" w:leader="none"/>
        </w:tabs>
        <w:ind w:hanging="360" w:start="720" w:end="0"/>
        <w:rPr/>
      </w:pPr>
      <w:r>
        <w:rPr/>
        <w:t>Actions to be taken if there is insufficiency of bids</w:t>
      </w:r>
    </w:p>
    <w:p>
      <w:pPr>
        <w:pStyle w:val="Normal"/>
        <w:rPr/>
      </w:pPr>
      <w:r>
        <w:rPr/>
      </w:r>
    </w:p>
    <w:p>
      <w:pPr>
        <w:pStyle w:val="Normal"/>
        <w:numPr>
          <w:ilvl w:val="0"/>
          <w:numId w:val="5"/>
        </w:numPr>
        <w:rPr/>
      </w:pPr>
      <w:r>
        <w:rPr/>
        <w:t>Given that RPRS resolves both CSC and OC congestion,  how is the cost  for RPRS allocated between CSC and OC?</w:t>
      </w:r>
    </w:p>
    <w:p>
      <w:pPr>
        <w:pStyle w:val="Normal"/>
        <w:rPr>
          <w:color w:val="000000"/>
        </w:rPr>
      </w:pPr>
      <w:r>
        <w:rPr>
          <w:color w:val="000000"/>
        </w:rPr>
      </w:r>
    </w:p>
    <w:p>
      <w:pPr>
        <w:pStyle w:val="Normal"/>
        <w:numPr>
          <w:ilvl w:val="0"/>
          <w:numId w:val="5"/>
        </w:numPr>
        <w:rPr/>
      </w:pPr>
      <w:r>
        <w:rPr/>
        <w:t>At T-60, after submittal of updated resource plans, what happens if new unanticipated constraints show up as a result of updated plans?  Similarly, what happens if deployment of AS causes unanticipated congestion?</w:t>
      </w:r>
    </w:p>
    <w:p>
      <w:pPr>
        <w:pStyle w:val="Normal"/>
        <w:rPr/>
      </w:pPr>
      <w:r>
        <w:rPr/>
      </w:r>
    </w:p>
    <w:p>
      <w:pPr>
        <w:pStyle w:val="Normal"/>
        <w:numPr>
          <w:ilvl w:val="0"/>
          <w:numId w:val="5"/>
        </w:numPr>
        <w:rPr/>
      </w:pPr>
      <w:r>
        <w:rPr/>
        <w:t>Explain what a unit specific premium bid refers to, and provide example for instances of a specific inc, or  a dec., and how a unit specific premium is used?</w:t>
      </w:r>
    </w:p>
    <w:p>
      <w:pPr>
        <w:pStyle w:val="Normal"/>
        <w:rPr/>
      </w:pPr>
      <w:r>
        <w:rPr/>
      </w:r>
    </w:p>
    <w:p>
      <w:pPr>
        <w:pStyle w:val="Normal"/>
        <w:numPr>
          <w:ilvl w:val="0"/>
          <w:numId w:val="5"/>
        </w:numPr>
        <w:rPr/>
      </w:pPr>
      <w:r>
        <w:rPr/>
        <w:t xml:space="preserve">In the day ahead market, given that QSEs are providing a portfolio of resources (instead of unit specific), how is the Commercial Model used by ERCOT (at day ahead hour 11:15) to determine schedule adequacy and congestion (inter and intra zonal)? </w:t>
      </w:r>
    </w:p>
    <w:p>
      <w:pPr>
        <w:pStyle w:val="Normal"/>
        <w:rPr>
          <w:strike/>
          <w:color w:val="000000"/>
        </w:rPr>
      </w:pPr>
      <w:r>
        <w:rPr>
          <w:strike/>
          <w:color w:val="000000"/>
        </w:rPr>
      </w:r>
    </w:p>
    <w:p>
      <w:pPr>
        <w:pStyle w:val="Normal"/>
        <w:numPr>
          <w:ilvl w:val="0"/>
          <w:numId w:val="5"/>
        </w:numPr>
        <w:rPr/>
      </w:pPr>
      <w:r>
        <w:rPr>
          <w:color w:val="000000"/>
        </w:rPr>
        <w:t>What mechanism will be used to flag improper bids?</w:t>
      </w:r>
      <w:r>
        <w:rPr/>
        <w:t xml:space="preserve"> </w:t>
      </w:r>
    </w:p>
    <w:p>
      <w:pPr>
        <w:pStyle w:val="Normal"/>
        <w:rPr>
          <w:color w:val="000000"/>
        </w:rPr>
      </w:pPr>
      <w:r>
        <w:rPr>
          <w:color w:val="000000"/>
        </w:rPr>
      </w:r>
      <w:r>
        <w:br w:type="page"/>
      </w:r>
    </w:p>
    <w:p>
      <w:pPr>
        <w:pStyle w:val="Normal"/>
        <w:jc w:val="center"/>
        <w:rPr>
          <w:b/>
          <w:sz w:val="32"/>
        </w:rPr>
      </w:pPr>
      <w:r>
        <w:rPr>
          <w:b/>
          <w:sz w:val="32"/>
        </w:rPr>
        <w:t>Congestion Management Example</w:t>
      </w:r>
    </w:p>
    <w:p>
      <w:pPr>
        <w:pStyle w:val="Normal"/>
        <w:rPr>
          <w:b/>
          <w:sz w:val="32"/>
        </w:rPr>
      </w:pPr>
      <w:r>
        <w:rPr>
          <w:b/>
          <w:sz w:val="32"/>
        </w:rPr>
      </w:r>
    </w:p>
    <w:p>
      <w:pPr>
        <w:pStyle w:val="Normal"/>
        <w:rPr/>
      </w:pPr>
      <w:r>
        <w:rPr/>
        <w:t>The following sections is taken from ERCOT's "The Market Guide."</w:t>
      </w:r>
    </w:p>
    <w:p>
      <w:pPr>
        <w:pStyle w:val="Heading2"/>
        <w:ind w:hanging="0" w:start="0"/>
        <w:rPr>
          <w:rFonts w:ascii="Times New Roman" w:hAnsi="Times New Roman" w:cs="Times New Roman"/>
        </w:rPr>
      </w:pPr>
      <w:r>
        <w:rPr>
          <w:rFonts w:cs="Times New Roman" w:ascii="Times New Roman" w:hAnsi="Times New Roman"/>
        </w:rPr>
        <w:t>5B. Congestion Management (pages 36 thru 38)</w:t>
      </w:r>
    </w:p>
    <w:p>
      <w:pPr>
        <w:pStyle w:val="Normal"/>
        <w:rPr/>
      </w:pPr>
      <w:r>
        <w:rPr/>
        <w:t>Congestion arises when the balanced schedules submitted by QSEs</w:t>
      </w:r>
      <w:r>
        <w:fldChar w:fldCharType="begin"/>
      </w:r>
      <w:r>
        <w:rPr/>
        <w:instrText xml:space="preserve"> XE "QSEs" </w:instrText>
      </w:r>
      <w:r>
        <w:rPr/>
        <w:fldChar w:fldCharType="separate"/>
      </w:r>
      <w:r>
        <w:rPr/>
      </w:r>
      <w:r>
        <w:rPr/>
        <w:fldChar w:fldCharType="end"/>
      </w:r>
      <w:r>
        <w:rPr/>
        <w:t xml:space="preserve"> are such that safe operating limits on the transmission system will be exceeded. In these circumstances, generators must be re-dispatched in a different way to meet the forecasted or actual loads, while respecting these limits.</w:t>
      </w:r>
    </w:p>
    <w:p>
      <w:pPr>
        <w:pStyle w:val="Normal"/>
        <w:rPr/>
      </w:pPr>
      <w:r>
        <w:rPr/>
      </w:r>
    </w:p>
    <w:p>
      <w:pPr>
        <w:pStyle w:val="Normal"/>
        <w:rPr/>
      </w:pPr>
      <w:r>
        <w:drawing>
          <wp:anchor behindDoc="0" distT="0" distB="0" distL="114935" distR="114935" simplePos="0" locked="0" layoutInCell="0" allowOverlap="1" relativeHeight="2">
            <wp:simplePos x="0" y="0"/>
            <wp:positionH relativeFrom="column">
              <wp:posOffset>91440</wp:posOffset>
            </wp:positionH>
            <wp:positionV relativeFrom="paragraph">
              <wp:posOffset>532765</wp:posOffset>
            </wp:positionV>
            <wp:extent cx="3657600" cy="26123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7" r="-6" b="-7"/>
                    <a:stretch>
                      <a:fillRect/>
                    </a:stretch>
                  </pic:blipFill>
                  <pic:spPr bwMode="auto">
                    <a:xfrm>
                      <a:off x="0" y="0"/>
                      <a:ext cx="3657600" cy="2612390"/>
                    </a:xfrm>
                    <a:prstGeom prst="rect">
                      <a:avLst/>
                    </a:prstGeom>
                    <a:noFill/>
                  </pic:spPr>
                </pic:pic>
              </a:graphicData>
            </a:graphic>
          </wp:anchor>
        </w:drawing>
      </w:r>
      <w:r>
        <w:rPr/>
        <w:t>Consider the following example of a very simple grid with three zones, a load at each zone, and some generation capacity at two of the three zones:</w:t>
      </w:r>
    </w:p>
    <w:p>
      <w:pPr>
        <w:pStyle w:val="Header"/>
        <w:tabs>
          <w:tab w:val="clear" w:pos="4320"/>
          <w:tab w:val="clear" w:pos="8640"/>
        </w:tabs>
        <w:rPr/>
      </w:pPr>
      <w:r>
        <w:rPr/>
      </w:r>
    </w:p>
    <w:p>
      <w:pPr>
        <w:pStyle w:val="Normal"/>
        <w:rPr/>
      </w:pPr>
      <w:r>
        <w:rPr/>
      </w:r>
    </w:p>
    <w:p>
      <w:pPr>
        <w:pStyle w:val="Normal"/>
        <w:rPr/>
      </w:pPr>
      <w:r>
        <w:rPr/>
        <w:t xml:space="preserve">Assume that the characteristics of this grid are such that when power flows out from zone A, the flow along A-&gt;C is twice the flow along A-&gt;B. </w:t>
      </w:r>
    </w:p>
    <w:p>
      <w:pPr>
        <w:pStyle w:val="Normal"/>
        <w:rPr/>
      </w:pPr>
      <w:r>
        <w:rPr/>
      </w:r>
    </w:p>
    <w:p>
      <w:pPr>
        <w:pStyle w:val="Style13"/>
        <w:rPr>
          <w:rFonts w:ascii="Times New Roman" w:hAnsi="Times New Roman" w:cs="Times New Roman"/>
        </w:rPr>
      </w:pPr>
      <w:r>
        <w:rPr>
          <w:rFonts w:cs="Times New Roman" w:ascii="Times New Roman" w:hAnsi="Times New Roman"/>
        </w:rPr>
        <w:t>With no constraints on the transmission wires connecting each of the zones, the least cost solution to satisfy the requirement would be as follows:</w:t>
      </w:r>
    </w:p>
    <w:p>
      <w:pPr>
        <w:pStyle w:val="Normal"/>
        <w:numPr>
          <w:ilvl w:val="0"/>
          <w:numId w:val="0"/>
        </w:numPr>
        <w:rPr>
          <w:rFonts w:ascii="Times New Roman" w:hAnsi="Times New Roman" w:cs="Times New Roman"/>
        </w:rPr>
      </w:pPr>
      <w:r>
        <w:rPr>
          <w:rFonts w:cs="Times New Roman"/>
        </w:rPr>
        <w:drawing>
          <wp:anchor behindDoc="0" distT="0" distB="0" distL="114935" distR="114935" simplePos="0" locked="0" layoutInCell="0" allowOverlap="1" relativeHeight="4">
            <wp:simplePos x="0" y="0"/>
            <wp:positionH relativeFrom="column">
              <wp:posOffset>-89535</wp:posOffset>
            </wp:positionH>
            <wp:positionV relativeFrom="paragraph">
              <wp:posOffset>1905</wp:posOffset>
            </wp:positionV>
            <wp:extent cx="3838575" cy="228028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9" r="-5" b="-9"/>
                    <a:stretch>
                      <a:fillRect/>
                    </a:stretch>
                  </pic:blipFill>
                  <pic:spPr bwMode="auto">
                    <a:xfrm>
                      <a:off x="0" y="0"/>
                      <a:ext cx="3838575" cy="2280285"/>
                    </a:xfrm>
                    <a:prstGeom prst="rect">
                      <a:avLst/>
                    </a:prstGeom>
                    <a:noFill/>
                  </pic:spPr>
                </pic:pic>
              </a:graphicData>
            </a:graphic>
          </wp:anchor>
        </w:drawing>
      </w:r>
      <w:r>
        <w:br w:type="page"/>
      </w:r>
    </w:p>
    <w:p>
      <w:pPr>
        <w:pStyle w:val="Normal"/>
        <w:rPr/>
      </w:pPr>
      <w:r>
        <w:rPr/>
        <w:t>Generator A, being the lowest cost, is used to the maximum, and the excess generation, 300MW, flows out from A. As prescribed on the previous page, the flow from A-&gt;C is twice that of A-&gt;B, hence 200MW flows from A-&gt;C and 100 MW from A-&gt;B. The total cost is $20,000.</w:t>
      </w:r>
    </w:p>
    <w:p>
      <w:pPr>
        <w:pStyle w:val="Normal"/>
        <w:rPr/>
      </w:pPr>
      <w:r>
        <w:rPr/>
      </w:r>
    </w:p>
    <w:p>
      <w:pPr>
        <w:pStyle w:val="Style13"/>
        <w:rPr/>
      </w:pPr>
      <w:r>
        <w:rPr>
          <w:rFonts w:cs="Times New Roman" w:ascii="Times New Roman" w:hAnsi="Times New Roman"/>
        </w:rPr>
        <w:t>Now let’s introduce a constraint. Say that the line connecting A-&gt;C is only capable of safely handling 100MW. Hence we currently have 100MW of congestion</w:t>
      </w:r>
      <w:r>
        <w:fldChar w:fldCharType="begin"/>
      </w:r>
      <w:r>
        <w:rPr/>
        <w:instrText xml:space="preserve"> XE "congestion" </w:instrText>
      </w:r>
      <w:r>
        <w:rPr/>
        <w:fldChar w:fldCharType="separate"/>
      </w:r>
      <w:r>
        <w:rPr/>
      </w:r>
      <w:r>
        <w:rPr/>
        <w:fldChar w:fldCharType="end"/>
      </w:r>
      <w:r>
        <w:rPr>
          <w:rFonts w:cs="Times New Roman" w:ascii="Times New Roman" w:hAnsi="Times New Roman"/>
        </w:rPr>
        <w:t xml:space="preserve"> on this line. Now the generators have to be re-dispatched as follows:</w:t>
      </w:r>
    </w:p>
    <w:p>
      <w:pPr>
        <w:pStyle w:val="Normal"/>
        <w:rPr>
          <w:rFonts w:ascii="Times New Roman" w:hAnsi="Times New Roman" w:cs="Times New Roman"/>
        </w:rPr>
      </w:pPr>
      <w:r>
        <w:rPr>
          <w:rFonts w:cs="Times New Roman"/>
        </w:rPr>
      </w:r>
    </w:p>
    <w:p>
      <w:pPr>
        <w:pStyle w:val="Normal"/>
        <w:rPr/>
      </w:pPr>
      <w:r>
        <w:rPr/>
        <w:drawing>
          <wp:anchor behindDoc="0" distT="0" distB="0" distL="114935" distR="114935" simplePos="0" locked="0" layoutInCell="0" allowOverlap="1" relativeHeight="3">
            <wp:simplePos x="0" y="0"/>
            <wp:positionH relativeFrom="column">
              <wp:posOffset>0</wp:posOffset>
            </wp:positionH>
            <wp:positionV relativeFrom="paragraph">
              <wp:posOffset>76835</wp:posOffset>
            </wp:positionV>
            <wp:extent cx="3529330" cy="248412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8" r="-6" b="-8"/>
                    <a:stretch>
                      <a:fillRect/>
                    </a:stretch>
                  </pic:blipFill>
                  <pic:spPr bwMode="auto">
                    <a:xfrm>
                      <a:off x="0" y="0"/>
                      <a:ext cx="3529330" cy="2484120"/>
                    </a:xfrm>
                    <a:prstGeom prst="rect">
                      <a:avLst/>
                    </a:prstGeom>
                    <a:noFill/>
                  </pic:spPr>
                </pic:pic>
              </a:graphicData>
            </a:graphic>
          </wp:anchor>
        </w:drawing>
      </w:r>
    </w:p>
    <w:p>
      <w:pPr>
        <w:pStyle w:val="Style13"/>
        <w:rPr/>
      </w:pPr>
      <w:r>
        <w:rPr/>
      </w:r>
    </w:p>
    <w:p>
      <w:pPr>
        <w:pStyle w:val="Style13"/>
        <w:rPr>
          <w:rFonts w:ascii="Times New Roman" w:hAnsi="Times New Roman" w:cs="Times New Roman"/>
        </w:rPr>
      </w:pPr>
      <w:r>
        <w:rPr>
          <w:rFonts w:cs="Times New Roman" w:ascii="Times New Roman" w:hAnsi="Times New Roman"/>
        </w:rPr>
        <w:t>Generation at A has to be reduced to respect the 100MW constraint between A and C, and higher cost generation at B is dispatched to make up for the shortfall. The total cost of the generation dispatched is now $21,500, an increase of $1,500 over the unconstrained solution.</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rPr/>
      </w:pPr>
      <w:r>
        <w:rPr/>
        <w:t xml:space="preserve">In practice, what would happen if the above situation were forecast by ERCOT as it analyzed Day-Ahead schedules? </w:t>
      </w:r>
    </w:p>
    <w:p>
      <w:pPr>
        <w:pStyle w:val="Normal"/>
        <w:rPr/>
      </w:pPr>
      <w:r>
        <w:rPr/>
      </w:r>
    </w:p>
    <w:p>
      <w:pPr>
        <w:pStyle w:val="Normal"/>
        <w:rPr/>
      </w:pPr>
      <w:r>
        <w:rPr/>
        <w:t>First, ERCOT would notify the QSEs</w:t>
      </w:r>
      <w:r>
        <w:fldChar w:fldCharType="begin"/>
      </w:r>
      <w:r>
        <w:rPr/>
        <w:instrText xml:space="preserve"> XE "QSEs" </w:instrText>
      </w:r>
      <w:r>
        <w:rPr/>
        <w:fldChar w:fldCharType="separate"/>
      </w:r>
      <w:r>
        <w:rPr/>
      </w:r>
      <w:r>
        <w:rPr/>
        <w:fldChar w:fldCharType="end"/>
      </w:r>
      <w:r>
        <w:rPr/>
        <w:t xml:space="preserve"> and thus give them the opportunity to adjust their schedules to relieve the forecast congestion</w:t>
      </w:r>
      <w:r>
        <w:fldChar w:fldCharType="begin"/>
      </w:r>
      <w:r>
        <w:rPr/>
        <w:instrText xml:space="preserve"> XE "congestion" </w:instrText>
      </w:r>
      <w:r>
        <w:rPr/>
        <w:fldChar w:fldCharType="separate"/>
      </w:r>
      <w:r>
        <w:rPr/>
      </w:r>
      <w:r>
        <w:rPr/>
        <w:fldChar w:fldCharType="end"/>
      </w:r>
      <w:r>
        <w:rPr/>
        <w:t xml:space="preserve">. </w:t>
      </w:r>
    </w:p>
    <w:p>
      <w:pPr>
        <w:pStyle w:val="Normal"/>
        <w:rPr/>
      </w:pPr>
      <w:r>
        <w:rPr/>
      </w:r>
    </w:p>
    <w:p>
      <w:pPr>
        <w:pStyle w:val="Normal"/>
        <w:rPr/>
      </w:pPr>
      <w:r>
        <w:rPr/>
        <w:t>If the adjusted schedules, after analysis, still produce congestion</w:t>
      </w:r>
      <w:r>
        <w:fldChar w:fldCharType="begin"/>
      </w:r>
      <w:r>
        <w:rPr/>
        <w:instrText xml:space="preserve"> XE "congestion" </w:instrText>
      </w:r>
      <w:r>
        <w:rPr/>
        <w:fldChar w:fldCharType="separate"/>
      </w:r>
      <w:r>
        <w:rPr/>
      </w:r>
      <w:r>
        <w:rPr/>
        <w:fldChar w:fldCharType="end"/>
      </w:r>
      <w:r>
        <w:rPr/>
        <w:t xml:space="preserve">, then ERCOT’s next recourse is to procure Replacement Reserve – in this case 150MW of such reserve would be procured in zone B. That way, ERCOT knows that there will be sufficient capacity available in zone B to deal with the congestion that has been forecast. </w:t>
      </w:r>
    </w:p>
    <w:p>
      <w:pPr>
        <w:pStyle w:val="Normal"/>
        <w:rPr/>
      </w:pPr>
      <w:r>
        <w:rPr/>
      </w:r>
    </w:p>
    <w:p>
      <w:pPr>
        <w:pStyle w:val="Normal"/>
        <w:rPr/>
      </w:pPr>
      <w:r>
        <w:rPr/>
        <w:t>If the congestion</w:t>
      </w:r>
      <w:r>
        <w:fldChar w:fldCharType="begin"/>
      </w:r>
      <w:r>
        <w:rPr/>
        <w:instrText xml:space="preserve"> XE "congestion" </w:instrText>
      </w:r>
      <w:r>
        <w:rPr/>
        <w:fldChar w:fldCharType="separate"/>
      </w:r>
      <w:r>
        <w:rPr/>
      </w:r>
      <w:r>
        <w:rPr/>
        <w:fldChar w:fldCharType="end"/>
      </w:r>
      <w:r>
        <w:rPr/>
        <w:t xml:space="preserve"> does indeed continue to be predicted as we approach real-time, ERCOT will call for balancing energy bids to relieve the congestion – incremental energy of 150MW in zone B, and decremental energy of 150MW in zone A.</w:t>
      </w:r>
    </w:p>
    <w:p>
      <w:pPr>
        <w:pStyle w:val="Normal"/>
        <w:rPr/>
      </w:pPr>
      <w:r>
        <w:rPr/>
      </w:r>
    </w:p>
    <w:p>
      <w:pPr>
        <w:pStyle w:val="Normal"/>
        <w:rPr/>
      </w:pPr>
      <w:r>
        <w:rPr/>
        <w:t>The constraint example can be used to introduce the terms that  describe congestion</w:t>
      </w:r>
      <w:r>
        <w:fldChar w:fldCharType="begin"/>
      </w:r>
      <w:r>
        <w:rPr/>
        <w:instrText xml:space="preserve"> XE "congestion" </w:instrText>
      </w:r>
      <w:r>
        <w:rPr/>
        <w:fldChar w:fldCharType="separate"/>
      </w:r>
      <w:r>
        <w:rPr/>
      </w:r>
      <w:r>
        <w:rPr/>
        <w:fldChar w:fldCharType="end"/>
      </w:r>
      <w:r>
        <w:rPr/>
        <w:t>, as it is handled in the ERCOT service area:</w:t>
      </w:r>
    </w:p>
    <w:p>
      <w:pPr>
        <w:pStyle w:val="Normal"/>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 xml:space="preserve">The </w:t>
      </w:r>
      <w:r>
        <w:rPr>
          <w:i/>
        </w:rPr>
        <w:t xml:space="preserve">Congestion Cost </w:t>
      </w:r>
      <w:r>
        <w:rPr/>
        <w:t>is the incremental cost of the re-dispatch required to resolve the congestion</w:t>
      </w:r>
      <w:r>
        <w:fldChar w:fldCharType="begin"/>
      </w:r>
      <w:r>
        <w:rPr/>
        <w:instrText xml:space="preserve"> XE "congestion" </w:instrText>
      </w:r>
      <w:r>
        <w:rPr/>
        <w:fldChar w:fldCharType="separate"/>
      </w:r>
      <w:r>
        <w:rPr/>
      </w:r>
      <w:r>
        <w:rPr/>
        <w:fldChar w:fldCharType="end"/>
      </w:r>
      <w:r>
        <w:rPr/>
        <w:t>. In the example this cost is $1,500.</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 xml:space="preserve">The </w:t>
      </w:r>
      <w:r>
        <w:rPr>
          <w:i/>
        </w:rPr>
        <w:t xml:space="preserve">shadow price </w:t>
      </w:r>
      <w:r>
        <w:rPr/>
        <w:t>of congestion</w:t>
      </w:r>
      <w:r>
        <w:fldChar w:fldCharType="begin"/>
      </w:r>
      <w:r>
        <w:rPr/>
        <w:instrText xml:space="preserve"> XE "congestion" </w:instrText>
      </w:r>
      <w:r>
        <w:rPr/>
        <w:fldChar w:fldCharType="separate"/>
      </w:r>
      <w:r>
        <w:rPr/>
      </w:r>
      <w:r>
        <w:rPr/>
        <w:fldChar w:fldCharType="end"/>
      </w:r>
      <w:r>
        <w:rPr/>
        <w:t xml:space="preserve"> is the marginal price of the constraint – it indicates the decrease in overall cost if the constraint limit were to increase by 1MW In the example this is $15/MW.</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 xml:space="preserve">The </w:t>
      </w:r>
      <w:r>
        <w:rPr>
          <w:i/>
        </w:rPr>
        <w:t xml:space="preserve">shift factor </w:t>
      </w:r>
      <w:r>
        <w:rPr/>
        <w:t xml:space="preserve">describes the impact that a generator in a given zone has on the constraint. These shift factors are expressed as fractions. </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Using these terms, we can describe our situation as follows:</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Shift factor (reflecting the impact of  generation in zone A on the constraint A-&gt;C) = 0.66, since only 66% of the change in generation at A is reflected on the flow between A-&gt;C.</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Congestion cost = shadow price x amount by which limit is violated = $15/MW x 100MW = $1,500</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Clearing price at a unit impacting the constraint = shadow price x shift factor for the unit at the constraint = $15/MW x 0.66 = $10/MW.</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Hence if the shift factors are known, the shadow prices and the overall congestion</w:t>
      </w:r>
      <w:r>
        <w:fldChar w:fldCharType="begin"/>
      </w:r>
      <w:r>
        <w:rPr/>
        <w:instrText xml:space="preserve"> XE "congestion" </w:instrText>
      </w:r>
      <w:r>
        <w:rPr/>
        <w:fldChar w:fldCharType="separate"/>
      </w:r>
      <w:r>
        <w:rPr/>
      </w:r>
      <w:r>
        <w:rPr/>
        <w:fldChar w:fldCharType="end"/>
      </w:r>
      <w:r>
        <w:rPr/>
        <w:t xml:space="preserve"> clearing prices can be calculated for a given power flow situation. </w:t>
      </w:r>
    </w:p>
    <w:p>
      <w:pPr>
        <w:pStyle w:val="Normal"/>
        <w:rPr/>
      </w:pPr>
      <w:r>
        <w:rPr/>
      </w:r>
    </w:p>
    <w:p>
      <w:pPr>
        <w:pStyle w:val="Normal"/>
        <w:jc w:val="center"/>
        <w:rPr>
          <w:b/>
          <w:color w:val="000000"/>
          <w:sz w:val="32"/>
        </w:rPr>
      </w:pPr>
      <w:r>
        <w:rPr>
          <w:b/>
          <w:color w:val="000000"/>
          <w:sz w:val="32"/>
        </w:rPr>
        <w:t>Technical Conference</w:t>
      </w:r>
    </w:p>
    <w:p>
      <w:pPr>
        <w:pStyle w:val="Normal"/>
        <w:jc w:val="center"/>
        <w:rPr>
          <w:b/>
          <w:color w:val="000000"/>
          <w:sz w:val="32"/>
        </w:rPr>
      </w:pPr>
      <w:r>
        <w:rPr>
          <w:b/>
          <w:color w:val="000000"/>
          <w:sz w:val="32"/>
        </w:rPr>
        <w:t>January 19, 2001</w:t>
      </w:r>
    </w:p>
    <w:p>
      <w:pPr>
        <w:pStyle w:val="Normal"/>
        <w:jc w:val="center"/>
        <w:rPr>
          <w:b/>
          <w:color w:val="000000"/>
          <w:sz w:val="32"/>
        </w:rPr>
      </w:pPr>
      <w:r>
        <w:rPr>
          <w:b/>
          <w:color w:val="000000"/>
          <w:sz w:val="32"/>
        </w:rPr>
      </w:r>
    </w:p>
    <w:p>
      <w:pPr>
        <w:pStyle w:val="Normal"/>
        <w:jc w:val="center"/>
        <w:rPr>
          <w:b/>
          <w:color w:val="000000"/>
          <w:sz w:val="32"/>
        </w:rPr>
      </w:pPr>
      <w:r>
        <w:rPr>
          <w:b/>
          <w:color w:val="000000"/>
          <w:sz w:val="32"/>
        </w:rPr>
        <w:t>PUC Staff Selected Questions</w:t>
      </w:r>
    </w:p>
    <w:p>
      <w:pPr>
        <w:pStyle w:val="Normal"/>
        <w:rPr>
          <w:b/>
          <w:color w:val="000000"/>
          <w:sz w:val="32"/>
        </w:rPr>
      </w:pPr>
      <w:r>
        <w:rPr>
          <w:b/>
          <w:color w:val="000000"/>
          <w:sz w:val="32"/>
        </w:rPr>
      </w:r>
    </w:p>
    <w:p>
      <w:pPr>
        <w:pStyle w:val="Normal"/>
        <w:rPr>
          <w:color w:val="000000"/>
        </w:rPr>
      </w:pPr>
      <w:r>
        <w:rPr>
          <w:color w:val="000000"/>
        </w:rPr>
      </w:r>
    </w:p>
    <w:p>
      <w:pPr>
        <w:pStyle w:val="Normal"/>
        <w:numPr>
          <w:ilvl w:val="0"/>
          <w:numId w:val="5"/>
        </w:numPr>
        <w:rPr/>
      </w:pPr>
      <w:r>
        <w:rPr/>
        <w:t>Please briefly explain how the revisions submitted under ERCOT January 5, 2001 Supplemental Filing address each of the fifteen concerns identified on page 5 of ERCOT November 2, 2000 Original Filing.  In particular, please provide the reasoning underlying each solution and list the issues for which no final resolution is provided.</w:t>
      </w:r>
    </w:p>
    <w:p>
      <w:pPr>
        <w:pStyle w:val="Normal"/>
        <w:rPr>
          <w:color w:val="000000"/>
        </w:rPr>
      </w:pPr>
      <w:r>
        <w:rPr>
          <w:color w:val="000000"/>
        </w:rPr>
      </w:r>
    </w:p>
    <w:p>
      <w:pPr>
        <w:pStyle w:val="Normal"/>
        <w:numPr>
          <w:ilvl w:val="0"/>
          <w:numId w:val="5"/>
        </w:numPr>
        <w:rPr/>
      </w:pPr>
      <w:r>
        <w:rPr/>
        <w:t xml:space="preserve">Please provide a tentative timeline for implementing revisions identified in the ERCOT Supplemental Filing regarding Gap Analysis.  For those gaps that will not be implemented by January 1, 2002,  please briefly explain the way ERCOT will handle the resulting operational and market related problems. </w:t>
      </w:r>
    </w:p>
    <w:p>
      <w:pPr>
        <w:pStyle w:val="Normal"/>
        <w:rPr>
          <w:color w:val="000000"/>
        </w:rPr>
      </w:pPr>
      <w:r>
        <w:rPr>
          <w:color w:val="000000"/>
        </w:rPr>
      </w:r>
    </w:p>
    <w:p>
      <w:pPr>
        <w:pStyle w:val="Normal"/>
        <w:numPr>
          <w:ilvl w:val="0"/>
          <w:numId w:val="5"/>
        </w:numPr>
        <w:rPr/>
      </w:pPr>
      <w:r>
        <w:rPr/>
        <w:t>Please provide simple and clear examples to illustrate how load acting as a resource can participate in the operations of each of the Ancillary Services Markets.  In answering this question, please distinguish between Balancing Up Load (BUL) options and other ways in which load can act as a resource.  In addition, please provide an expanded explanation of how the following activities will function as they apply to loads acting as a resource:</w:t>
      </w:r>
    </w:p>
    <w:p>
      <w:pPr>
        <w:pStyle w:val="Normal"/>
        <w:rPr/>
      </w:pPr>
      <w:r>
        <w:rPr/>
      </w:r>
    </w:p>
    <w:p>
      <w:pPr>
        <w:pStyle w:val="Normal"/>
        <w:numPr>
          <w:ilvl w:val="0"/>
          <w:numId w:val="8"/>
        </w:numPr>
        <w:tabs>
          <w:tab w:val="left" w:pos="720" w:leader="none"/>
        </w:tabs>
        <w:ind w:hanging="360" w:start="720" w:end="0"/>
        <w:rPr/>
      </w:pPr>
      <w:r>
        <w:rPr/>
        <w:t>Dissemination of advanced notices regarding price signals to various customers</w:t>
      </w:r>
    </w:p>
    <w:p>
      <w:pPr>
        <w:pStyle w:val="Normal"/>
        <w:numPr>
          <w:ilvl w:val="0"/>
          <w:numId w:val="8"/>
        </w:numPr>
        <w:tabs>
          <w:tab w:val="left" w:pos="720" w:leader="none"/>
        </w:tabs>
        <w:ind w:hanging="360" w:start="720" w:end="0"/>
        <w:rPr/>
      </w:pPr>
      <w:r>
        <w:rPr/>
        <w:t>Determination of quantities to be deployed</w:t>
      </w:r>
    </w:p>
    <w:p>
      <w:pPr>
        <w:pStyle w:val="Normal"/>
        <w:numPr>
          <w:ilvl w:val="0"/>
          <w:numId w:val="8"/>
        </w:numPr>
        <w:tabs>
          <w:tab w:val="left" w:pos="720" w:leader="none"/>
        </w:tabs>
        <w:ind w:hanging="360" w:start="720" w:end="0"/>
        <w:rPr/>
      </w:pPr>
      <w:r>
        <w:rPr/>
        <w:t>Determination of compensations to be paid (energy and capacity)</w:t>
      </w:r>
    </w:p>
    <w:p>
      <w:pPr>
        <w:pStyle w:val="Normal"/>
        <w:numPr>
          <w:ilvl w:val="0"/>
          <w:numId w:val="8"/>
        </w:numPr>
        <w:tabs>
          <w:tab w:val="left" w:pos="720" w:leader="none"/>
        </w:tabs>
        <w:ind w:hanging="360" w:start="720" w:end="0"/>
        <w:rPr/>
      </w:pPr>
      <w:r>
        <w:rPr/>
        <w:t>Determination of compensations to be paid (energy and capacity) if there are zonal differences in ERCOT for each AS product</w:t>
      </w:r>
    </w:p>
    <w:p>
      <w:pPr>
        <w:pStyle w:val="Normal"/>
        <w:numPr>
          <w:ilvl w:val="0"/>
          <w:numId w:val="8"/>
        </w:numPr>
        <w:tabs>
          <w:tab w:val="left" w:pos="720" w:leader="none"/>
        </w:tabs>
        <w:ind w:hanging="360" w:start="720" w:end="0"/>
        <w:rPr/>
      </w:pPr>
      <w:r>
        <w:rPr/>
        <w:t>Determination of uninstructed deviations and possible penalties</w:t>
      </w:r>
    </w:p>
    <w:p>
      <w:pPr>
        <w:pStyle w:val="Normal"/>
        <w:numPr>
          <w:ilvl w:val="0"/>
          <w:numId w:val="8"/>
        </w:numPr>
        <w:tabs>
          <w:tab w:val="left" w:pos="720" w:leader="none"/>
        </w:tabs>
        <w:ind w:hanging="360" w:start="720" w:end="0"/>
        <w:rPr/>
      </w:pPr>
      <w:r>
        <w:rPr/>
        <w:t>Future elimination of any proposed incentives to encourage loads to participate</w:t>
      </w:r>
    </w:p>
    <w:p>
      <w:pPr>
        <w:pStyle w:val="Normal"/>
        <w:rPr/>
      </w:pPr>
      <w:r>
        <w:rPr/>
      </w:r>
    </w:p>
    <w:p>
      <w:pPr>
        <w:pStyle w:val="Normal"/>
        <w:numPr>
          <w:ilvl w:val="0"/>
          <w:numId w:val="5"/>
        </w:numPr>
        <w:rPr/>
      </w:pPr>
      <w:r>
        <w:rPr/>
        <w:t xml:space="preserve">Please expand your answer regarding the earlier example provided on congestion management to explain the way the following concerns are addressed:  i) Capacity inadequacy, ii) local congestion, and iii) zonal congestion.  In particular, please expand on the following areas: </w:t>
      </w:r>
    </w:p>
    <w:p>
      <w:pPr>
        <w:pStyle w:val="Normal"/>
        <w:rPr/>
      </w:pPr>
      <w:r>
        <w:rPr/>
      </w:r>
    </w:p>
    <w:p>
      <w:pPr>
        <w:pStyle w:val="Normal"/>
        <w:numPr>
          <w:ilvl w:val="0"/>
          <w:numId w:val="7"/>
        </w:numPr>
        <w:tabs>
          <w:tab w:val="left" w:pos="720" w:leader="none"/>
        </w:tabs>
        <w:ind w:hanging="360" w:start="720" w:end="0"/>
        <w:rPr/>
      </w:pPr>
      <w:r>
        <w:rPr/>
        <w:t>Determination of MCPC for the selected resource(s)</w:t>
      </w:r>
    </w:p>
    <w:p>
      <w:pPr>
        <w:pStyle w:val="Normal"/>
        <w:numPr>
          <w:ilvl w:val="0"/>
          <w:numId w:val="7"/>
        </w:numPr>
        <w:tabs>
          <w:tab w:val="left" w:pos="720" w:leader="none"/>
        </w:tabs>
        <w:ind w:hanging="360" w:start="720" w:end="0"/>
        <w:rPr/>
      </w:pPr>
      <w:r>
        <w:rPr/>
        <w:t>Determination of MCPE for selected resource(s) deployed to clear congestion</w:t>
      </w:r>
    </w:p>
    <w:p>
      <w:pPr>
        <w:pStyle w:val="Normal"/>
        <w:numPr>
          <w:ilvl w:val="0"/>
          <w:numId w:val="7"/>
        </w:numPr>
        <w:tabs>
          <w:tab w:val="left" w:pos="720" w:leader="none"/>
        </w:tabs>
        <w:ind w:hanging="360" w:start="720" w:end="0"/>
        <w:rPr/>
      </w:pPr>
      <w:r>
        <w:rPr>
          <w:color w:val="000000"/>
        </w:rPr>
        <w:t>Reliance on optimization models, if any, to manage congestion (succinct description of the model)</w:t>
      </w:r>
    </w:p>
    <w:p>
      <w:pPr>
        <w:pStyle w:val="Normal"/>
        <w:numPr>
          <w:ilvl w:val="0"/>
          <w:numId w:val="7"/>
        </w:numPr>
        <w:tabs>
          <w:tab w:val="left" w:pos="720" w:leader="none"/>
        </w:tabs>
        <w:ind w:hanging="360" w:start="720" w:end="0"/>
        <w:rPr/>
      </w:pPr>
      <w:r>
        <w:rPr>
          <w:color w:val="000000"/>
        </w:rPr>
        <w:t>Allocation of costs among items i through iii mentioned above</w:t>
      </w:r>
    </w:p>
    <w:p>
      <w:pPr>
        <w:pStyle w:val="Normal"/>
        <w:rPr/>
      </w:pPr>
      <w:r>
        <w:rPr/>
      </w:r>
    </w:p>
    <w:p>
      <w:pPr>
        <w:pStyle w:val="Normal"/>
        <w:numPr>
          <w:ilvl w:val="0"/>
          <w:numId w:val="5"/>
        </w:numPr>
        <w:rPr/>
      </w:pPr>
      <w:r>
        <w:rPr/>
        <w:t>Please explain the provisions within the Protocols that require routine self-correcting (improvement) actions regarding ERCOT management and operational functions.  In particular, please expand on the following areas:</w:t>
      </w:r>
    </w:p>
    <w:p>
      <w:pPr>
        <w:pStyle w:val="Normal"/>
        <w:rPr/>
      </w:pPr>
      <w:r>
        <w:rPr/>
      </w:r>
    </w:p>
    <w:p>
      <w:pPr>
        <w:pStyle w:val="Normal"/>
        <w:numPr>
          <w:ilvl w:val="0"/>
          <w:numId w:val="4"/>
        </w:numPr>
        <w:tabs>
          <w:tab w:val="left" w:pos="720" w:leader="none"/>
        </w:tabs>
        <w:ind w:hanging="360" w:start="720" w:end="0"/>
        <w:rPr/>
      </w:pPr>
      <w:r>
        <w:rPr/>
        <w:t>To what extent will a third-party independent audit be relied upon to evaluate previous management decisions and to identify areas for improvements?</w:t>
      </w:r>
    </w:p>
    <w:p>
      <w:pPr>
        <w:pStyle w:val="Normal"/>
        <w:numPr>
          <w:ilvl w:val="0"/>
          <w:numId w:val="4"/>
        </w:numPr>
        <w:tabs>
          <w:tab w:val="left" w:pos="720" w:leader="none"/>
        </w:tabs>
        <w:ind w:hanging="360" w:start="720" w:end="0"/>
        <w:rPr/>
      </w:pPr>
      <w:r>
        <w:rPr/>
        <w:t>To what extent will a third-party independent audit be relied upon to improve ERCOT functions and achieve more efficiency?</w:t>
      </w:r>
    </w:p>
    <w:p>
      <w:pPr>
        <w:pStyle w:val="Normal"/>
        <w:numPr>
          <w:ilvl w:val="0"/>
          <w:numId w:val="4"/>
        </w:numPr>
        <w:tabs>
          <w:tab w:val="left" w:pos="720" w:leader="none"/>
        </w:tabs>
        <w:ind w:hanging="360" w:start="720" w:end="0"/>
        <w:rPr/>
      </w:pPr>
      <w:r>
        <w:rPr/>
        <w:t>To what extent will a third-party independent consultant be relied upon to identify/improve any potential inaccuracy/inefficiency that may exist in software packages used by ERCOT to manage various markets?</w:t>
      </w:r>
    </w:p>
    <w:p>
      <w:pPr>
        <w:pStyle w:val="Normal"/>
        <w:rPr/>
      </w:pPr>
      <w:r>
        <w:rPr/>
      </w:r>
    </w:p>
    <w:p>
      <w:pPr>
        <w:pStyle w:val="Normal"/>
        <w:numPr>
          <w:ilvl w:val="0"/>
          <w:numId w:val="5"/>
        </w:numPr>
        <w:rPr>
          <w:color w:val="000000"/>
        </w:rPr>
      </w:pPr>
      <w:r>
        <w:rPr/>
        <w:t>Please explain what is meant by the phrase "optimal solution" on page 119 (6-28) of the Supplemental Filing under item 14?</w:t>
      </w:r>
      <w:r>
        <w:rPr>
          <w:color w:val="000000"/>
        </w:rPr>
        <w:t xml:space="preserve"> </w:t>
      </w:r>
    </w:p>
    <w:p>
      <w:pPr>
        <w:pStyle w:val="Normal"/>
        <w:rPr>
          <w:color w:val="000000"/>
        </w:rPr>
      </w:pPr>
      <w:r>
        <w:rPr>
          <w:color w:val="000000"/>
        </w:rPr>
      </w:r>
    </w:p>
    <w:p>
      <w:pPr>
        <w:pStyle w:val="Normal"/>
        <w:numPr>
          <w:ilvl w:val="0"/>
          <w:numId w:val="5"/>
        </w:numPr>
        <w:rPr>
          <w:color w:val="000000"/>
        </w:rPr>
      </w:pPr>
      <w:r>
        <w:rPr/>
        <w:t xml:space="preserve">Referring to page 144 (6-53) of the Supplemental Filing, please identify the conditions that will indicate "significant price chasing" and under which ERCOT will reduce "the percentage and MWH tolerance" mentioned in the last sentence under items 1 and 2?  </w:t>
      </w:r>
      <w:r>
        <w:rPr>
          <w:color w:val="000000"/>
        </w:rPr>
        <w:t xml:space="preserve"> Are these conditions transparent to market players?</w:t>
      </w:r>
    </w:p>
    <w:p>
      <w:pPr>
        <w:pStyle w:val="Normal"/>
        <w:rPr>
          <w:color w:val="000000"/>
        </w:rPr>
      </w:pPr>
      <w:r>
        <w:rPr>
          <w:color w:val="000000"/>
        </w:rPr>
      </w:r>
    </w:p>
    <w:p>
      <w:pPr>
        <w:pStyle w:val="Normal"/>
        <w:numPr>
          <w:ilvl w:val="0"/>
          <w:numId w:val="5"/>
        </w:numPr>
        <w:rPr/>
      </w:pPr>
      <w:r>
        <w:rPr/>
        <w:t>Please explain the changes needed to be made to the Protocols to ensure effective participation in the AS markets of resources acquired through the capacity entitlement auctions mandated by PURA and the Commission rules.  In particular, please explain how the following issues will be addressed:</w:t>
      </w:r>
    </w:p>
    <w:p>
      <w:pPr>
        <w:pStyle w:val="Normal"/>
        <w:rPr/>
      </w:pPr>
      <w:r>
        <w:rPr/>
      </w:r>
    </w:p>
    <w:p>
      <w:pPr>
        <w:pStyle w:val="Normal"/>
        <w:numPr>
          <w:ilvl w:val="0"/>
          <w:numId w:val="3"/>
        </w:numPr>
        <w:tabs>
          <w:tab w:val="left" w:pos="720" w:leader="none"/>
        </w:tabs>
        <w:ind w:hanging="360" w:start="720" w:end="0"/>
        <w:rPr/>
      </w:pPr>
      <w:r>
        <w:rPr/>
        <w:t>Non-unit specific nature of a major portion of the capacity entitlements (slice of the system rather than unit specific) and potential limitations in using the slice of the system to participate in different AS markets</w:t>
      </w:r>
    </w:p>
    <w:p>
      <w:pPr>
        <w:pStyle w:val="Normal"/>
        <w:numPr>
          <w:ilvl w:val="0"/>
          <w:numId w:val="3"/>
        </w:numPr>
        <w:tabs>
          <w:tab w:val="left" w:pos="720" w:leader="none"/>
        </w:tabs>
        <w:ind w:hanging="360" w:start="720" w:end="0"/>
        <w:rPr/>
      </w:pPr>
      <w:r>
        <w:rPr/>
        <w:t xml:space="preserve">How new holders of capacity entitlements can participate in the AS market to provide each of the four distinct products traded in that market. </w:t>
      </w:r>
    </w:p>
    <w:p>
      <w:pPr>
        <w:pStyle w:val="Normal"/>
        <w:ind w:hanging="360" w:start="360" w:end="0"/>
        <w:rPr/>
      </w:pPr>
      <w:r>
        <w:rPr/>
      </w:r>
    </w:p>
    <w:p>
      <w:pPr>
        <w:pStyle w:val="Normal"/>
        <w:numPr>
          <w:ilvl w:val="0"/>
          <w:numId w:val="5"/>
        </w:numPr>
        <w:rPr/>
      </w:pPr>
      <w:r>
        <w:rPr/>
        <w:t>Will the Public Utility Commission of Texas be in any way financially responsible for the preparation and operation of the Do Not Call List?</w:t>
      </w:r>
    </w:p>
    <w:p>
      <w:pPr>
        <w:pStyle w:val="Normal"/>
        <w:rPr>
          <w:color w:val="000000"/>
        </w:rPr>
      </w:pPr>
      <w:r>
        <w:rPr>
          <w:color w:val="000000"/>
        </w:rPr>
      </w:r>
    </w:p>
    <w:p>
      <w:pPr>
        <w:pStyle w:val="Normal"/>
        <w:numPr>
          <w:ilvl w:val="0"/>
          <w:numId w:val="5"/>
        </w:numPr>
        <w:rPr/>
      </w:pPr>
      <w:r>
        <w:rPr/>
        <w:t>As currently proposed, ERCOT, rather than the Commission, is responsible for certifying the Qualified Scheduling Entity (QSE). Please indicate steps taken within the Protocols to ensure that QSEs will not discriminate against non-affiliated market players.  If no specific provisions are included in the Protocols, please explain any changes you think will be necessary to address this concern.</w:t>
      </w:r>
    </w:p>
    <w:p>
      <w:pPr>
        <w:pStyle w:val="Normal"/>
        <w:rPr>
          <w:color w:val="000000"/>
        </w:rPr>
      </w:pPr>
      <w:r>
        <w:rPr>
          <w:color w:val="000000"/>
        </w:rPr>
      </w:r>
    </w:p>
    <w:p>
      <w:pPr>
        <w:pStyle w:val="Normal"/>
        <w:ind w:hanging="360" w:start="360" w:end="0"/>
        <w:rPr>
          <w:color w:val="000000"/>
        </w:rPr>
      </w:pPr>
      <w:r>
        <w:rPr>
          <w:color w:val="000000"/>
        </w:rPr>
      </w:r>
      <w:r>
        <w:br w:type="page"/>
      </w:r>
    </w:p>
    <w:p>
      <w:pPr>
        <w:pStyle w:val="Normal"/>
        <w:jc w:val="center"/>
        <w:rPr>
          <w:b/>
          <w:color w:val="000000"/>
          <w:sz w:val="32"/>
        </w:rPr>
      </w:pPr>
      <w:r>
        <w:rPr>
          <w:b/>
          <w:color w:val="000000"/>
          <w:sz w:val="32"/>
        </w:rPr>
        <w:t>Docket No. 23220</w:t>
      </w:r>
    </w:p>
    <w:p>
      <w:pPr>
        <w:pStyle w:val="Normal"/>
        <w:jc w:val="center"/>
        <w:rPr>
          <w:b/>
          <w:color w:val="000000"/>
          <w:sz w:val="32"/>
        </w:rPr>
      </w:pPr>
      <w:r>
        <w:rPr>
          <w:b/>
          <w:color w:val="000000"/>
          <w:sz w:val="32"/>
        </w:rPr>
        <w:t>Technical Conference</w:t>
      </w:r>
    </w:p>
    <w:p>
      <w:pPr>
        <w:pStyle w:val="Normal"/>
        <w:jc w:val="center"/>
        <w:rPr>
          <w:b/>
          <w:color w:val="000000"/>
          <w:sz w:val="32"/>
        </w:rPr>
      </w:pPr>
      <w:r>
        <w:rPr>
          <w:b/>
          <w:color w:val="000000"/>
          <w:sz w:val="32"/>
        </w:rPr>
        <w:t>January 19, 2001</w:t>
      </w:r>
    </w:p>
    <w:p>
      <w:pPr>
        <w:pStyle w:val="Normal"/>
        <w:jc w:val="center"/>
        <w:rPr>
          <w:b/>
          <w:color w:val="000000"/>
          <w:sz w:val="32"/>
        </w:rPr>
      </w:pPr>
      <w:r>
        <w:rPr>
          <w:b/>
          <w:color w:val="000000"/>
          <w:sz w:val="32"/>
        </w:rPr>
      </w:r>
    </w:p>
    <w:p>
      <w:pPr>
        <w:pStyle w:val="Normal"/>
        <w:jc w:val="center"/>
        <w:rPr>
          <w:b/>
          <w:color w:val="000000"/>
          <w:sz w:val="32"/>
        </w:rPr>
      </w:pPr>
      <w:r>
        <w:rPr>
          <w:b/>
          <w:color w:val="000000"/>
          <w:sz w:val="32"/>
        </w:rPr>
        <w:t>PUC Staff Selected Questions</w:t>
      </w:r>
    </w:p>
    <w:p>
      <w:pPr>
        <w:pStyle w:val="Normal"/>
        <w:rPr>
          <w:b/>
          <w:color w:val="000000"/>
          <w:sz w:val="32"/>
        </w:rPr>
      </w:pPr>
      <w:r>
        <w:rPr>
          <w:b/>
          <w:color w:val="000000"/>
          <w:sz w:val="32"/>
        </w:rPr>
      </w:r>
    </w:p>
    <w:p>
      <w:pPr>
        <w:pStyle w:val="Normal"/>
        <w:rPr>
          <w:color w:val="000000"/>
        </w:rPr>
      </w:pPr>
      <w:r>
        <w:rPr>
          <w:color w:val="000000"/>
        </w:rPr>
      </w:r>
    </w:p>
    <w:p>
      <w:pPr>
        <w:pStyle w:val="Heading2"/>
        <w:ind w:hanging="0" w:start="0"/>
        <w:jc w:val="center"/>
        <w:rPr>
          <w:color w:val="FF0000"/>
        </w:rPr>
      </w:pPr>
      <w:r>
        <w:rPr>
          <w:color w:val="FF0000"/>
        </w:rPr>
        <w:t>QUESTIONS REGARDING CONFIDENTIAL DOCUMENT</w:t>
      </w:r>
    </w:p>
    <w:p>
      <w:pPr>
        <w:pStyle w:val="Normal"/>
        <w:ind w:hanging="360" w:start="360" w:end="0"/>
        <w:rPr/>
      </w:pPr>
      <w:r>
        <w:rPr/>
        <w:t>Please add the following part (e) to the end of question no. 4:</w:t>
      </w:r>
    </w:p>
    <w:p>
      <w:pPr>
        <w:pStyle w:val="Normal"/>
        <w:ind w:hanging="360" w:start="360" w:end="0"/>
        <w:rPr/>
      </w:pPr>
      <w:r>
        <w:rPr/>
      </w:r>
    </w:p>
    <w:p>
      <w:pPr>
        <w:pStyle w:val="Normal"/>
        <w:numPr>
          <w:ilvl w:val="0"/>
          <w:numId w:val="7"/>
        </w:numPr>
        <w:tabs>
          <w:tab w:val="left" w:pos="720" w:leader="none"/>
        </w:tabs>
        <w:ind w:hanging="360" w:start="720" w:end="0"/>
        <w:rPr/>
      </w:pPr>
      <w:r>
        <w:rPr>
          <w:color w:val="000000"/>
        </w:rPr>
        <w:t>A step by step explanation of example 4.5.A 2 of the Addendum to ERCOT MOS Analytical Function Software Specification Document (SSD).</w:t>
      </w:r>
    </w:p>
    <w:p>
      <w:pPr>
        <w:pStyle w:val="Normal"/>
        <w:ind w:hanging="360" w:start="360" w:end="0"/>
        <w:rPr/>
      </w:pPr>
      <w:r>
        <w:rPr/>
      </w:r>
    </w:p>
    <w:p>
      <w:pPr>
        <w:pStyle w:val="Normal"/>
        <w:rPr/>
      </w:pPr>
      <w:r>
        <w:rPr/>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240"/>
      <w:outlineLvl w:val="1"/>
    </w:pPr>
    <w:rPr>
      <w:rFonts w:ascii="Book Antiqua" w:hAnsi="Book Antiqua" w:cs="Book Antiqua"/>
      <w:b/>
      <w:i/>
      <w:sz w:val="24"/>
    </w:rPr>
  </w:style>
  <w:style w:type="character" w:styleId="WW8Num1z0">
    <w:name w:val="WW8Num1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3">
    <w:name w:val="Style1"/>
    <w:basedOn w:val="Normal"/>
    <w:qFormat/>
    <w:pPr/>
    <w:rPr>
      <w:rFonts w:ascii="Book Antiqua" w:hAnsi="Book Antiqua" w:cs="Book Antiqu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Book Antiqua" w:hAnsi="Book Antiqua" w:cs="Book Antiqua"/>
      <w:sz w:val="22"/>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2001-01-04T21:27:00Z</dcterms:created>
  <dc:creator>sguermouche</dc:creator>
  <dc:description/>
  <dc:language>en-CA</dc:language>
  <cp:lastModifiedBy>rkittel</cp:lastModifiedBy>
  <dcterms:modified xsi:type="dcterms:W3CDTF">2001-01-16T14:01:00Z</dcterms:modified>
  <cp:revision>4</cp:revision>
  <dc:subject/>
  <dc:title>5B</dc:title>
</cp:coreProperties>
</file>