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Style"/>
        <w:widowControl/>
        <w:rPr>
          <w:rFonts w:ascii="Times New Roman" w:hAnsi="Times New Roman" w:cs="Times New Roman"/>
          <w:caps w:val="false"/>
          <w:smallCaps w:val="false"/>
          <w:szCs w:val="24"/>
        </w:rPr>
      </w:pPr>
      <w:r>
        <w:rPr>
          <w:rFonts w:cs="Times New Roman" w:ascii="Times New Roman" w:hAnsi="Times New Roman"/>
          <w:caps w:val="false"/>
          <w:smallCaps w:val="false"/>
          <w:szCs w:val="24"/>
        </w:rPr>
      </w:r>
    </w:p>
    <w:p>
      <w:pPr>
        <w:pStyle w:val="TitleStyle"/>
        <w:widowControl/>
        <w:rPr>
          <w:rFonts w:ascii="Times New Roman" w:hAnsi="Times New Roman" w:cs="Times New Roman"/>
          <w:caps w:val="false"/>
          <w:smallCaps w:val="false"/>
          <w:szCs w:val="24"/>
        </w:rPr>
      </w:pPr>
      <w:r>
        <w:rPr>
          <w:rFonts w:cs="Times New Roman" w:ascii="Times New Roman" w:hAnsi="Times New Roman"/>
          <w:caps w:val="false"/>
          <w:smallCaps w:val="false"/>
          <w:szCs w:val="24"/>
        </w:rPr>
      </w:r>
    </w:p>
    <w:p>
      <w:pPr>
        <w:pStyle w:val="TitleStyle"/>
        <w:widowControl/>
        <w:rPr>
          <w:rFonts w:ascii="Times New Roman" w:hAnsi="Times New Roman" w:cs="Times New Roman"/>
          <w:caps w:val="false"/>
          <w:smallCaps w:val="false"/>
          <w:szCs w:val="24"/>
        </w:rPr>
      </w:pPr>
      <w:r>
        <w:rPr>
          <w:rFonts w:cs="Times New Roman" w:ascii="Times New Roman" w:hAnsi="Times New Roman"/>
          <w:caps w:val="false"/>
          <w:smallCaps w:val="false"/>
          <w:szCs w:val="24"/>
        </w:rPr>
      </w:r>
    </w:p>
    <w:p>
      <w:pPr>
        <w:pStyle w:val="TitleStyle"/>
        <w:widowControl/>
        <w:rPr>
          <w:rFonts w:ascii="Times New Roman" w:hAnsi="Times New Roman" w:cs="Times New Roman"/>
          <w:caps w:val="false"/>
          <w:smallCaps w:val="false"/>
          <w:szCs w:val="24"/>
        </w:rPr>
      </w:pPr>
      <w:r>
        <w:rPr>
          <w:rFonts w:cs="Times New Roman" w:ascii="Times New Roman" w:hAnsi="Times New Roman"/>
          <w:caps w:val="false"/>
          <w:smallCaps w:val="false"/>
          <w:szCs w:val="24"/>
        </w:rPr>
      </w:r>
    </w:p>
    <w:p>
      <w:pPr>
        <w:pStyle w:val="TitleStyle"/>
        <w:widowControl/>
        <w:rPr>
          <w:rFonts w:ascii="Times New Roman" w:hAnsi="Times New Roman" w:cs="Times New Roman"/>
          <w:caps w:val="false"/>
          <w:smallCaps w:val="false"/>
          <w:szCs w:val="24"/>
        </w:rPr>
      </w:pPr>
      <w:r>
        <w:rPr>
          <w:rFonts w:cs="Times New Roman" w:ascii="Times New Roman" w:hAnsi="Times New Roman"/>
          <w:caps w:val="false"/>
          <w:smallCaps w:val="false"/>
          <w:szCs w:val="24"/>
        </w:rPr>
        <mc:AlternateContent>
          <mc:Choice Requires="wps">
            <w:drawing>
              <wp:anchor behindDoc="0" distT="0" distB="0" distL="114935" distR="114935" simplePos="0" locked="0" layoutInCell="1" allowOverlap="1" relativeHeight="6">
                <wp:simplePos x="0" y="0"/>
                <wp:positionH relativeFrom="column">
                  <wp:posOffset>-822960</wp:posOffset>
                </wp:positionH>
                <wp:positionV relativeFrom="paragraph">
                  <wp:posOffset>635</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0pt;width:7.15pt;height:7.15pt;mso-wrap-style:none;v-text-anchor:middle">
                <v:fill r:id="rId3" o:detectmouseclick="t" type="tile" color2="black"/>
                <v:stroke color="white" weight="9360" joinstyle="round" endcap="flat"/>
                <w10:wrap type="none"/>
              </v:shape>
            </w:pict>
          </mc:Fallback>
        </mc:AlternateContent>
      </w:r>
      <w:r>
        <w:rPr>
          <w:rFonts w:cs="Times New Roman" w:ascii="Times New Roman" w:hAnsi="Times New Roman"/>
          <w:caps w:val="false"/>
          <w:smallCaps w:val="false"/>
          <w:szCs w:val="24"/>
        </w:rPr>
        <w:t>UNITED STATES OF AMERICA</w:t>
      </w:r>
    </w:p>
    <w:p>
      <w:pPr>
        <w:pStyle w:val="Center"/>
        <w:widowControl/>
        <w:spacing w:lineRule="auto" w:line="240" w:before="0" w:after="0"/>
        <w:rPr>
          <w:rFonts w:ascii="Times New Roman" w:hAnsi="Times New Roman" w:cs="Times New Roman"/>
          <w:b/>
        </w:rPr>
      </w:pPr>
      <w:r>
        <w:rPr>
          <w:rFonts w:cs="Times New Roman" w:ascii="Times New Roman" w:hAnsi="Times New Roman"/>
          <w:b/>
        </w:rPr>
        <w:t>BEFORE THE</w:t>
      </w:r>
    </w:p>
    <w:p>
      <w:pPr>
        <w:pStyle w:val="Normal"/>
        <w:jc w:val="center"/>
        <w:rPr>
          <w:b/>
        </w:rPr>
      </w:pPr>
      <w:r>
        <w:rPr>
          <w:b/>
        </w:rPr>
        <w:t>FEDERAL ENERGY REGULATORY COMMISSION</w:t>
      </w:r>
    </w:p>
    <w:p>
      <w:pPr>
        <w:pStyle w:val="Normal"/>
        <w:spacing w:lineRule="auto" w:line="480"/>
        <w:jc w:val="center"/>
        <w:rPr/>
      </w:pPr>
      <w:r>
        <w:rPr/>
      </w:r>
    </w:p>
    <w:tbl>
      <w:tblPr>
        <w:tblW w:w="9576" w:type="dxa"/>
        <w:jc w:val="start"/>
        <w:tblInd w:w="0" w:type="dxa"/>
        <w:tblLayout w:type="fixed"/>
        <w:tblCellMar>
          <w:top w:w="0" w:type="dxa"/>
          <w:start w:w="108" w:type="dxa"/>
          <w:bottom w:w="0" w:type="dxa"/>
          <w:end w:w="108" w:type="dxa"/>
        </w:tblCellMar>
      </w:tblPr>
      <w:tblGrid>
        <w:gridCol w:w="4248"/>
        <w:gridCol w:w="1530"/>
        <w:gridCol w:w="3798"/>
      </w:tblGrid>
      <w:tr>
        <w:trPr/>
        <w:tc>
          <w:tcPr>
            <w:tcW w:w="4248" w:type="dxa"/>
            <w:tcBorders/>
          </w:tcPr>
          <w:p>
            <w:pPr>
              <w:pStyle w:val="Normal"/>
              <w:spacing w:lineRule="auto" w:line="480"/>
              <w:rPr>
                <w:b/>
              </w:rPr>
            </w:pPr>
            <w:r>
              <w:rPr>
                <w:b/>
              </w:rPr>
              <w:t>Entergy Services, Inc.</w:t>
            </w:r>
          </w:p>
        </w:tc>
        <w:tc>
          <w:tcPr>
            <w:tcW w:w="1530" w:type="dxa"/>
            <w:tcBorders/>
          </w:tcPr>
          <w:p>
            <w:pPr>
              <w:pStyle w:val="Normal"/>
              <w:spacing w:lineRule="auto" w:line="480"/>
              <w:rPr>
                <w:b/>
              </w:rPr>
            </w:pPr>
            <w:r>
              <w:rPr>
                <w:b/>
              </w:rPr>
              <w:t>)</w:t>
            </w:r>
          </w:p>
        </w:tc>
        <w:tc>
          <w:tcPr>
            <w:tcW w:w="3798" w:type="dxa"/>
            <w:tcBorders/>
          </w:tcPr>
          <w:p>
            <w:pPr>
              <w:pStyle w:val="Normal"/>
              <w:spacing w:lineRule="auto" w:line="480"/>
              <w:jc w:val="center"/>
              <w:rPr>
                <w:b/>
              </w:rPr>
            </w:pPr>
            <w:r>
              <w:rPr>
                <w:b/>
              </w:rPr>
              <w:t>Docket No. ER01-2214-000</w:t>
            </w:r>
          </w:p>
        </w:tc>
      </w:tr>
    </w:tbl>
    <w:p>
      <w:pPr>
        <w:pStyle w:val="TitleStyle"/>
        <w:widowControl/>
        <w:rPr>
          <w:rFonts w:ascii="Times New Roman" w:hAnsi="Times New Roman" w:cs="Times New Roman"/>
        </w:rPr>
      </w:pPr>
      <w:r>
        <w:rPr>
          <w:rFonts w:cs="Times New Roman" w:ascii="Times New Roman" w:hAnsi="Times New Roman"/>
        </w:rPr>
      </w:r>
    </w:p>
    <w:p>
      <w:pPr>
        <w:pStyle w:val="TitleStyle"/>
        <w:widowControl/>
        <w:rPr>
          <w:rFonts w:ascii="Times New Roman" w:hAnsi="Times New Roman" w:cs="Times New Roman"/>
        </w:rPr>
      </w:pPr>
      <w:r>
        <w:rPr>
          <w:rFonts w:cs="Times New Roman" w:ascii="Times New Roman" w:hAnsi="Times New Roman"/>
        </w:rPr>
        <w:t xml:space="preserve">MOTION TO INTERVENE AND PROTEST OF </w:t>
      </w:r>
    </w:p>
    <w:p>
      <w:pPr>
        <w:pStyle w:val="Heading1"/>
        <w:ind w:hanging="0" w:start="0"/>
        <w:rPr/>
      </w:pPr>
      <w:r>
        <w:rPr/>
        <w:t>ENRON POWER MARKETING, INC.</w:t>
      </w:r>
    </w:p>
    <w:p>
      <w:pPr>
        <w:pStyle w:val="Normal"/>
        <w:jc w:val="center"/>
        <w:rPr>
          <w:b/>
          <w:bCs/>
        </w:rPr>
      </w:pPr>
      <w:r>
        <w:rPr>
          <w:b/>
          <w:bCs/>
        </w:rPr>
      </w:r>
    </w:p>
    <w:p>
      <w:pPr>
        <w:pStyle w:val="Normal"/>
        <w:spacing w:lineRule="auto" w:line="480"/>
        <w:ind w:firstLine="720" w:end="0"/>
        <w:jc w:val="both"/>
        <w:rPr/>
      </w:pPr>
      <w:r>
        <w:rPr/>
        <w:t>Pursuant to 18 C.F.R. § 385.211 and § 385.214 (2000) and the Commission's May 18, 2001 Notice of Filing, Enron Power Marketing, Inc. (EPMI) hereby moves to intervene and protest in the above-captioned docket.  In support of its motion, EPMI states as follows:</w:t>
      </w:r>
    </w:p>
    <w:p>
      <w:pPr>
        <w:pStyle w:val="Normal"/>
        <w:tabs>
          <w:tab w:val="center" w:pos="720" w:leader="none"/>
        </w:tabs>
        <w:ind w:hanging="720" w:start="720" w:end="0"/>
        <w:jc w:val="center"/>
        <w:rPr>
          <w:b/>
        </w:rPr>
      </w:pPr>
      <w:r>
        <w:rPr>
          <w:b/>
        </w:rPr>
        <w:t>I.</w:t>
      </w:r>
    </w:p>
    <w:p>
      <w:pPr>
        <w:pStyle w:val="Normal"/>
        <w:tabs>
          <w:tab w:val="center" w:pos="720" w:leader="none"/>
        </w:tabs>
        <w:ind w:hanging="720" w:start="720" w:end="0"/>
        <w:jc w:val="center"/>
        <w:rPr>
          <w:b/>
          <w:u w:val="single"/>
        </w:rPr>
      </w:pPr>
      <w:r>
        <w:rPr>
          <w:b/>
          <w:u w:val="single"/>
        </w:rPr>
        <w:t>COMMUNICATIONS</w:t>
      </w:r>
    </w:p>
    <w:p>
      <w:pPr>
        <w:pStyle w:val="Normal"/>
        <w:tabs>
          <w:tab w:val="center" w:pos="720" w:leader="none"/>
        </w:tabs>
        <w:ind w:hanging="720" w:start="720" w:end="0"/>
        <w:jc w:val="both"/>
        <w:rPr>
          <w:b/>
          <w:u w:val="single"/>
        </w:rPr>
      </w:pPr>
      <w:r>
        <w:rPr>
          <w:b/>
          <w:u w:val="single"/>
        </w:rPr>
      </w:r>
    </w:p>
    <w:p>
      <w:pPr>
        <w:pStyle w:val="Normal"/>
        <w:spacing w:lineRule="auto" w:line="480"/>
        <w:ind w:firstLine="720" w:end="0"/>
        <w:jc w:val="both"/>
        <w:rPr/>
      </w:pPr>
      <w:r>
        <w:rPr/>
        <w:t>Communications and correspondence regarding this proceeding should be directed to:</w:t>
      </w:r>
    </w:p>
    <w:p>
      <w:pPr>
        <w:pStyle w:val="Normal"/>
        <w:spacing w:lineRule="auto" w:line="214"/>
        <w:ind w:firstLine="720" w:end="0"/>
        <w:jc w:val="both"/>
        <w:rPr/>
      </w:pPr>
      <w:r>
        <w:rPr/>
        <w:t>Donna J. Fulton</w:t>
        <w:tab/>
        <w:tab/>
        <w:tab/>
        <w:tab/>
        <w:t>Susan Scott Lindberg</w:t>
      </w:r>
    </w:p>
    <w:p>
      <w:pPr>
        <w:pStyle w:val="Normal"/>
        <w:spacing w:lineRule="auto" w:line="214"/>
        <w:ind w:start="720" w:end="0"/>
        <w:jc w:val="both"/>
        <w:rPr/>
      </w:pPr>
      <w:r>
        <w:rPr/>
        <w:t>Director, Federal Regulatory Affairs</w:t>
        <w:tab/>
        <w:tab/>
        <w:t>Director, Federal Regulatory Affairs</w:t>
      </w:r>
    </w:p>
    <w:p>
      <w:pPr>
        <w:pStyle w:val="Normal"/>
        <w:tabs>
          <w:tab w:val="clear" w:pos="720"/>
          <w:tab w:val="left" w:pos="-1440" w:leader="none"/>
        </w:tabs>
        <w:spacing w:lineRule="auto" w:line="214"/>
        <w:ind w:hanging="4320" w:start="5040" w:end="0"/>
        <w:jc w:val="both"/>
        <w:rPr/>
      </w:pPr>
      <w:r>
        <w:rPr/>
        <w:t>Enron Corp.</w:t>
        <w:tab/>
        <w:t>Enron Corp.</w:t>
      </w:r>
    </w:p>
    <w:p>
      <w:pPr>
        <w:pStyle w:val="Normal"/>
        <w:spacing w:lineRule="auto" w:line="214"/>
        <w:ind w:firstLine="720" w:end="0"/>
        <w:jc w:val="both"/>
        <w:rPr/>
      </w:pPr>
      <w:r>
        <w:rPr/>
        <w:t>1775 Eye Street, N.W., Suite 800</w:t>
        <w:tab/>
        <w:tab/>
        <w:t>1400 Smith Street</w:t>
      </w:r>
    </w:p>
    <w:p>
      <w:pPr>
        <w:pStyle w:val="Normal"/>
        <w:tabs>
          <w:tab w:val="clear" w:pos="720"/>
          <w:tab w:val="left" w:pos="-1440" w:leader="none"/>
        </w:tabs>
        <w:spacing w:lineRule="auto" w:line="214"/>
        <w:ind w:hanging="2880" w:start="3600" w:end="0"/>
        <w:jc w:val="both"/>
        <w:rPr/>
      </w:pPr>
      <w:r>
        <w:rPr/>
        <w:t>Washington, D.C.  20006</w:t>
        <w:tab/>
        <w:tab/>
        <w:tab/>
        <w:t>Houston, TX   77002</w:t>
      </w:r>
    </w:p>
    <w:p>
      <w:pPr>
        <w:pStyle w:val="Normal"/>
        <w:spacing w:lineRule="auto" w:line="214"/>
        <w:ind w:firstLine="720" w:end="0"/>
        <w:jc w:val="both"/>
        <w:rPr/>
      </w:pPr>
      <w:r>
        <w:rPr/>
        <w:t>(202) 466-9160</w:t>
        <w:tab/>
        <w:tab/>
        <w:tab/>
        <w:tab/>
        <w:t>(713) 853-0596</w:t>
      </w:r>
    </w:p>
    <w:p>
      <w:pPr>
        <w:pStyle w:val="Normal"/>
        <w:spacing w:lineRule="auto" w:line="214"/>
        <w:ind w:firstLine="720" w:end="0"/>
        <w:jc w:val="both"/>
        <w:rPr/>
      </w:pPr>
      <w:r>
        <w:rPr/>
        <w:t>(202) 955-8496 (fax)</w:t>
        <w:tab/>
        <w:tab/>
        <w:tab/>
        <w:tab/>
        <w:t>(713) 646-8160 (fax)</w:t>
      </w:r>
    </w:p>
    <w:p>
      <w:pPr>
        <w:pStyle w:val="Normal"/>
        <w:spacing w:lineRule="auto" w:line="214"/>
        <w:ind w:firstLine="720" w:end="0"/>
        <w:jc w:val="both"/>
        <w:rPr/>
      </w:pPr>
      <w:r>
        <w:rPr/>
        <w:t>donna.fulton@enron.com</w:t>
        <w:tab/>
        <w:tab/>
        <w:tab/>
        <w:t>susan.scott@enron.com</w:t>
      </w:r>
    </w:p>
    <w:p>
      <w:pPr>
        <w:pStyle w:val="Normal"/>
        <w:spacing w:lineRule="auto" w:line="214"/>
        <w:ind w:firstLine="720" w:end="0"/>
        <w:jc w:val="both"/>
        <w:rPr/>
      </w:pPr>
      <w:r>
        <w:rPr/>
      </w:r>
    </w:p>
    <w:p>
      <w:pPr>
        <w:pStyle w:val="Normal"/>
        <w:tabs>
          <w:tab w:val="clear" w:pos="720"/>
          <w:tab w:val="left" w:pos="-1440" w:leader="none"/>
        </w:tabs>
        <w:spacing w:lineRule="auto" w:line="214"/>
        <w:ind w:hanging="5040" w:start="5760" w:end="0"/>
        <w:jc w:val="both"/>
        <w:rPr/>
      </w:pPr>
      <w:r>
        <w:rPr/>
      </w:r>
      <w:r>
        <w:br w:type="page"/>
      </w:r>
    </w:p>
    <w:p>
      <w:pPr>
        <w:pStyle w:val="TitleStyle"/>
        <w:widowControl/>
        <w:rPr>
          <w:rFonts w:ascii="Times New Roman" w:hAnsi="Times New Roman" w:cs="Times New Roman"/>
          <w:bCs/>
          <w:caps w:val="false"/>
          <w:smallCaps w:val="false"/>
          <w:szCs w:val="24"/>
        </w:rPr>
      </w:pPr>
      <w:r>
        <w:rPr>
          <w:rFonts w:cs="Times New Roman" w:ascii="Times New Roman" w:hAnsi="Times New Roman"/>
          <w:bCs/>
          <w:caps w:val="false"/>
          <w:smallCaps w:val="false"/>
          <w:szCs w:val="24"/>
        </w:rPr>
        <w:t>II.</w:t>
      </w:r>
    </w:p>
    <w:p>
      <w:pPr>
        <w:pStyle w:val="Normal"/>
        <w:tabs>
          <w:tab w:val="clear" w:pos="720"/>
          <w:tab w:val="center" w:pos="4680" w:leader="none"/>
        </w:tabs>
        <w:spacing w:lineRule="auto" w:line="480"/>
        <w:jc w:val="center"/>
        <w:rPr>
          <w:b/>
          <w:u w:val="single"/>
        </w:rPr>
      </w:pPr>
      <w:r>
        <w:rPr>
          <w:b/>
          <w:u w:val="single"/>
        </w:rPr>
        <w:t>INTERVENOR</w:t>
      </w:r>
    </w:p>
    <w:p>
      <w:pPr>
        <w:pStyle w:val="Normal"/>
        <w:spacing w:lineRule="auto" w:line="480"/>
        <w:ind w:firstLine="720" w:end="0"/>
        <w:rPr/>
      </w:pPr>
      <w:r>
        <w:rPr/>
        <w:t xml:space="preserve">EPMI is an affiliate of Enron North America Corp. (ENA) and was formed to </w:t>
      </w:r>
    </w:p>
    <w:p>
      <w:pPr>
        <w:pStyle w:val="Normal"/>
        <w:spacing w:lineRule="auto" w:line="480"/>
        <w:jc w:val="both"/>
        <w:rPr/>
      </w:pPr>
      <w:r>
        <w:rPr/>
        <w:t>develop a North American merchant services business in electric power.</w:t>
      </w:r>
      <w:r>
        <w:rPr>
          <w:rStyle w:val="FootnoteCharacters"/>
          <w:rStyle w:val="FootnoteReference"/>
        </w:rPr>
        <w:footnoteReference w:id="2"/>
      </w:r>
      <w:r>
        <w:rPr/>
        <w:t xml:space="preserve">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rPr>
        <w:t>Enron Power</w:t>
      </w:r>
      <w:r>
        <w:rPr/>
        <w:t xml:space="preserve"> </w:t>
      </w:r>
      <w:r>
        <w:rPr>
          <w:i/>
        </w:rPr>
        <w:t>Marketing, Inc</w:t>
      </w:r>
      <w:r>
        <w:rPr/>
        <w:t xml:space="preserve">., 65 FERC ¶ 61,305, </w:t>
      </w:r>
      <w:r>
        <w:rPr>
          <w:i/>
        </w:rPr>
        <w:t>order on reh’g</w:t>
      </w:r>
      <w:r>
        <w:rPr/>
        <w:t>, 66 FERC ¶ 61,244 (1994).</w:t>
      </w:r>
    </w:p>
    <w:p>
      <w:pPr>
        <w:pStyle w:val="BodyTextStyle"/>
        <w:widowControl/>
        <w:spacing w:lineRule="auto" w:line="240"/>
        <w:ind w:hanging="0" w:end="0"/>
        <w:jc w:val="center"/>
        <w:rPr>
          <w:rFonts w:ascii="Times New Roman" w:hAnsi="Times New Roman" w:cs="Times New Roman"/>
          <w:b/>
        </w:rPr>
      </w:pPr>
      <w:r>
        <w:rPr>
          <w:rFonts w:cs="Times New Roman" w:ascii="Times New Roman" w:hAnsi="Times New Roman"/>
          <w:b/>
        </w:rPr>
        <w:t>III.</w:t>
      </w:r>
    </w:p>
    <w:p>
      <w:pPr>
        <w:pStyle w:val="BodyTextStyle"/>
        <w:widowControl/>
        <w:spacing w:lineRule="auto" w:line="240"/>
        <w:ind w:hanging="0" w:end="0"/>
        <w:jc w:val="center"/>
        <w:rPr>
          <w:rFonts w:ascii="Times New Roman" w:hAnsi="Times New Roman" w:cs="Times New Roman"/>
          <w:b/>
          <w:u w:val="single"/>
        </w:rPr>
      </w:pPr>
      <w:r>
        <w:rPr>
          <w:rFonts w:cs="Times New Roman" w:ascii="Times New Roman" w:hAnsi="Times New Roman"/>
          <w:b/>
          <w:u w:val="single"/>
        </w:rPr>
        <w:t>MOTION TO INTERVENE</w:t>
      </w:r>
    </w:p>
    <w:p>
      <w:pPr>
        <w:pStyle w:val="Normal"/>
        <w:spacing w:lineRule="auto" w:line="480"/>
        <w:jc w:val="both"/>
        <w:rPr>
          <w:rFonts w:ascii="Times New Roman" w:hAnsi="Times New Roman" w:cs="Times New Roman"/>
          <w:b/>
          <w:szCs w:val="20"/>
          <w:u w:val="single"/>
        </w:rPr>
      </w:pPr>
      <w:r>
        <w:rPr>
          <w:rFonts w:cs="Times New Roman"/>
          <w:b/>
          <w:szCs w:val="20"/>
          <w:u w:val="single"/>
        </w:rPr>
      </w:r>
    </w:p>
    <w:p>
      <w:pPr>
        <w:pStyle w:val="Normal"/>
        <w:spacing w:lineRule="auto" w:line="480"/>
        <w:ind w:firstLine="720" w:end="0"/>
        <w:jc w:val="both"/>
        <w:rPr/>
      </w:pPr>
      <w:r>
        <w:rPr/>
        <w:t>EPMI purchases transmission services under Entergy's Open Access Transmission Tariff (OATT).  Therefore, EMPI will be directly affected by the outcome of this proceeding.   EPMI's interest cannot be adequately represented by any other party.  Therefore, EPMI submits that its intervention in this proceeding is in the public interest and should be granted.</w:t>
      </w:r>
    </w:p>
    <w:p>
      <w:pPr>
        <w:pStyle w:val="Normal"/>
        <w:jc w:val="center"/>
        <w:rPr>
          <w:b/>
          <w:sz w:val="26"/>
        </w:rPr>
      </w:pPr>
      <w:r>
        <w:rPr>
          <w:b/>
          <w:sz w:val="26"/>
        </w:rPr>
        <w:t>IV.</w:t>
      </w:r>
    </w:p>
    <w:p>
      <w:pPr>
        <w:pStyle w:val="Heading1"/>
        <w:spacing w:lineRule="auto" w:line="480"/>
        <w:ind w:hanging="0" w:start="0"/>
        <w:rPr/>
      </w:pPr>
      <w:r>
        <w:rPr/>
        <w:t>ENTERGY'S FILING</w:t>
      </w:r>
    </w:p>
    <w:p>
      <w:pPr>
        <w:pStyle w:val="BodyText"/>
        <w:spacing w:lineRule="auto" w:line="480"/>
        <w:jc w:val="both"/>
        <w:rPr>
          <w:sz w:val="24"/>
        </w:rPr>
      </w:pPr>
      <w:r>
        <w:rPr>
          <w:sz w:val="24"/>
        </w:rPr>
        <w:tab/>
        <w:t xml:space="preserve">On June 1, 2001, Entergy Services, Inc., on behalf of the Entergy Operating Companies, Entergy Arkansas, Inc., Entergy Gulf States, Inc., Entergy Louisiana, Inc., Entergy Mississippi, Inc., and Entergy New Orleans, Inc., filed proposed revisions to its pro forma OATT relating to Ancillary Services Schedules Nos. 3, 4, 5 and 6.   The proposed effective date of the revisions is August 1, 2001.  Entergy's basic premise is that the pro forma tariff and ancillary services established as part of Entergy's Open Access Transmission Tariff settlement in Docket No. ER95-112 should be changed.  Entergy states that current charges are based on the amount of energy transmitted by Entergy without regard to the amount of capacity and energy Entergy must maintain in order to provide these services, and that these charges should be capacity-based rather than energy-based.  Entergy purports to substantiate its proposed new capacity-based rates in calculations submitted with the filing.  </w:t>
      </w:r>
    </w:p>
    <w:p>
      <w:pPr>
        <w:pStyle w:val="BodyText"/>
        <w:jc w:val="center"/>
        <w:rPr>
          <w:b/>
          <w:bCs/>
          <w:sz w:val="24"/>
        </w:rPr>
      </w:pPr>
      <w:r>
        <w:rPr>
          <w:b/>
          <w:bCs/>
          <w:sz w:val="24"/>
        </w:rPr>
        <w:t>V.</w:t>
      </w:r>
    </w:p>
    <w:p>
      <w:pPr>
        <w:pStyle w:val="BodyText"/>
        <w:jc w:val="center"/>
        <w:rPr>
          <w:b/>
          <w:bCs/>
          <w:sz w:val="24"/>
          <w:u w:val="single"/>
        </w:rPr>
      </w:pPr>
      <w:r>
        <w:rPr>
          <w:b/>
          <w:bCs/>
          <w:sz w:val="24"/>
          <w:u w:val="single"/>
        </w:rPr>
        <w:t>COMMENTS</w:t>
      </w:r>
    </w:p>
    <w:p>
      <w:pPr>
        <w:pStyle w:val="BodyText"/>
        <w:spacing w:lineRule="auto" w:line="480"/>
        <w:jc w:val="both"/>
        <w:rPr>
          <w:b/>
          <w:bCs/>
          <w:sz w:val="24"/>
          <w:u w:val="single"/>
        </w:rPr>
      </w:pPr>
      <w:r>
        <w:rPr>
          <w:b/>
          <w:bCs/>
          <w:sz w:val="24"/>
          <w:u w:val="single"/>
        </w:rPr>
      </w:r>
    </w:p>
    <w:p>
      <w:pPr>
        <w:pStyle w:val="BodyText2"/>
        <w:rPr/>
      </w:pPr>
      <w:r>
        <w:rPr/>
        <w:tab/>
        <w:t xml:space="preserve">Entergy has proposed radical changes to the ancillary services provisions of its tariff.  EPMI believes that certain modifications must be made to Entergy's proposed provisions in order for those provisions to be capable of being administered on a nondiscriminatory basis.  Without such modifications, the provisions proposed by Entergy should be rejected.  </w:t>
      </w:r>
    </w:p>
    <w:p>
      <w:pPr>
        <w:pStyle w:val="Normal"/>
        <w:spacing w:lineRule="auto" w:line="480"/>
        <w:jc w:val="both"/>
        <w:rPr/>
      </w:pPr>
      <w:r>
        <w:rPr/>
        <w:tab/>
      </w:r>
      <w:r>
        <w:rPr>
          <w:b/>
          <w:bCs/>
        </w:rPr>
        <w:t>1.  "Integrated Peak Load" Should be Defined</w:t>
      </w:r>
      <w:r>
        <w:rPr/>
        <w:t xml:space="preserve">  </w:t>
      </w:r>
    </w:p>
    <w:p>
      <w:pPr>
        <w:pStyle w:val="Normal"/>
        <w:spacing w:lineRule="auto" w:line="480"/>
        <w:ind w:firstLine="720" w:end="0"/>
        <w:jc w:val="both"/>
        <w:rPr/>
      </w:pPr>
      <w:r>
        <w:rPr/>
        <w:t>With regard to Regulation and Frequency Response Service, Entergy proposes that each Transmission Customer that does not self-supply or make alternative arrangements must purchase an amount of Load Following Capacity equal to 4% of a Customer's integrated peak load measured in MW each month.  Entergy does not define "integrated peak load" and it is not apparent how such amount will be determined.  Since the absence of a clear definition creates the potential for a subjective determination and therefore discrimination by Entergy, EPMI requests that the Commission require Entergy to clearly and unambiguously define "integrated peak load" in its proposed tariff sheets.</w:t>
      </w:r>
    </w:p>
    <w:p>
      <w:pPr>
        <w:pStyle w:val="Normal"/>
        <w:spacing w:lineRule="auto" w:line="480"/>
        <w:jc w:val="both"/>
        <w:rPr/>
      </w:pPr>
      <w:r>
        <w:rPr/>
        <w:tab/>
      </w:r>
      <w:r>
        <w:rPr>
          <w:b/>
          <w:bCs/>
        </w:rPr>
        <w:t>2.  "Incremental Cost" Should be Defined</w:t>
      </w:r>
    </w:p>
    <w:p>
      <w:pPr>
        <w:pStyle w:val="Normal"/>
        <w:spacing w:lineRule="auto" w:line="480"/>
        <w:jc w:val="both"/>
        <w:rPr/>
      </w:pPr>
      <w:r>
        <w:rPr/>
        <w:tab/>
        <w:t xml:space="preserve">Entergy defines Avoided Cost as "incremental cost to Entergy of electric energy which, but for a positive Imbalance, Entergy would generate itself or purchase from another source."  However, Entergy does not define "incremental cost."  The Commission </w:t>
      </w:r>
    </w:p>
    <w:p>
      <w:pPr>
        <w:pStyle w:val="Normal"/>
        <w:spacing w:lineRule="auto" w:line="480"/>
        <w:jc w:val="both"/>
        <w:rPr/>
      </w:pPr>
      <w:r>
        <w:rPr/>
        <w:t xml:space="preserve">should require Entergy to state specifically how incremental cost will be determined, and how and when such information will be made available to all customers. </w:t>
        <w:tab/>
      </w:r>
    </w:p>
    <w:p>
      <w:pPr>
        <w:pStyle w:val="Normal"/>
        <w:spacing w:lineRule="auto" w:line="480"/>
        <w:ind w:firstLine="720" w:end="0"/>
        <w:jc w:val="both"/>
        <w:rPr>
          <w:b/>
          <w:bCs/>
        </w:rPr>
      </w:pPr>
      <w:r>
        <w:rPr>
          <w:b/>
          <w:bCs/>
        </w:rPr>
        <w:t>3. Entergy Must Justify its Proposed Imbalance Penalties</w:t>
      </w:r>
    </w:p>
    <w:p>
      <w:pPr>
        <w:pStyle w:val="Normal"/>
        <w:spacing w:lineRule="auto" w:line="480"/>
        <w:ind w:firstLine="720" w:end="0"/>
        <w:jc w:val="both"/>
        <w:rPr/>
      </w:pPr>
      <w:r>
        <w:rPr/>
        <w:t>Entergy proposes a penalty associated with the Curtailment Risk Period calculated as follows:  Energy System Incremental Cost (ESIC) times 10, times the maximum hourly Deficient Energy, times 16.  The Commission has consistently held that penalties must be adequately supported and be sufficiently precise to discourage inappropriate practices without being exorbitant or exploitative.</w:t>
      </w:r>
      <w:r>
        <w:rPr>
          <w:rStyle w:val="FootnoteCharacters"/>
          <w:rStyle w:val="FootnoteReference"/>
        </w:rPr>
        <w:footnoteReference w:id="3"/>
      </w:r>
      <w:r>
        <w:rPr/>
        <w:t xml:space="preserve">  Entergy has not provided information sufficient to justify this calculation, particularly the derivation of the "times 10" and "times 16" in its formula, and, moreover, has not sufficiently explained how this calculation is designed precisely to deter inappropriate practices.  The Commission should therefore either require Entergy to provide further justification for the penalty it proposes to assess in connection with the Curtailment Risk Period, and absent such justification, reject Entergy's proposal.</w:t>
      </w:r>
      <w:r>
        <w:br w:type="page"/>
      </w:r>
    </w:p>
    <w:p>
      <w:pPr>
        <w:pStyle w:val="TitleStyle"/>
        <w:widowControl/>
        <w:rPr>
          <w:rFonts w:ascii="Times New Roman" w:hAnsi="Times New Roman" w:cs="Times New Roman"/>
          <w:bCs/>
          <w:caps w:val="false"/>
          <w:smallCaps w:val="false"/>
          <w:szCs w:val="24"/>
        </w:rPr>
      </w:pPr>
      <w:r>
        <w:rPr>
          <w:rFonts w:cs="Times New Roman" w:ascii="Times New Roman" w:hAnsi="Times New Roman"/>
          <w:bCs/>
          <w:caps w:val="false"/>
          <w:smallCaps w:val="false"/>
          <w:szCs w:val="24"/>
        </w:rPr>
        <w:t>VI.</w:t>
      </w:r>
    </w:p>
    <w:p>
      <w:pPr>
        <w:pStyle w:val="Heading2"/>
        <w:ind w:hanging="0" w:end="0"/>
        <w:rPr/>
      </w:pPr>
      <w:r>
        <w:rPr/>
        <w:t>CONCLUSION</w:t>
      </w:r>
    </w:p>
    <w:p>
      <w:pPr>
        <w:pStyle w:val="Normal"/>
        <w:ind w:firstLine="720" w:end="0"/>
        <w:jc w:val="center"/>
        <w:rPr>
          <w:b/>
          <w:bCs/>
        </w:rPr>
      </w:pPr>
      <w:r>
        <w:rPr>
          <w:b/>
          <w:bCs/>
        </w:rPr>
      </w:r>
    </w:p>
    <w:p>
      <w:pPr>
        <w:pStyle w:val="BodyText2"/>
        <w:rPr/>
      </w:pPr>
      <w:r>
        <w:rPr/>
        <w:tab/>
        <w:t xml:space="preserve">EPMI respectfully requests that the Commission grant its motion to intervene, and that it require Entergy to modify its proposed revised ancillary services provisions as </w:t>
      </w:r>
    </w:p>
    <w:p>
      <w:pPr>
        <w:pStyle w:val="BodyText2"/>
        <w:rPr/>
      </w:pPr>
      <w:r>
        <w:rPr/>
        <w:t xml:space="preserve">described herein.  If such modifications are not made, the Commission should reject Entergy's proposal. </w:t>
      </w:r>
    </w:p>
    <w:p>
      <w:pPr>
        <w:pStyle w:val="TitleStyle"/>
        <w:widowControl/>
        <w:spacing w:lineRule="auto" w:line="480"/>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r>
    </w:p>
    <w:p>
      <w:pPr>
        <w:pStyle w:val="TitleStyle"/>
        <w:widowControl/>
        <w:spacing w:lineRule="auto" w:line="480"/>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 xml:space="preserve">Respectfully submitted, </w:t>
      </w:r>
    </w:p>
    <w:p>
      <w:pPr>
        <w:pStyle w:val="TitleStyle"/>
        <w:widowControl/>
        <w:spacing w:lineRule="auto" w:line="480"/>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ENRON POWER MARKETING, INC.</w:t>
      </w:r>
    </w:p>
    <w:p>
      <w:pPr>
        <w:pStyle w:val="TitleStyle"/>
        <w:widowControl/>
        <w:spacing w:lineRule="auto" w:line="480"/>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Susan Scott Lindberg</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Director, Federal Regulatory Affairs</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Enron Corp.</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1400 Smith Street</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Houston, TX 77002</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(713) 853-0596</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(713) 646-8160 (fax)</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susan.scott@enron.com</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r>
    </w:p>
    <w:p>
      <w:pPr>
        <w:pStyle w:val="TitleStyle"/>
        <w:widowControl/>
        <w:spacing w:lineRule="auto" w:line="480"/>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r>
    </w:p>
    <w:p>
      <w:pPr>
        <w:pStyle w:val="Normal"/>
        <w:jc w:val="center"/>
        <w:rPr>
          <w:u w:val="single"/>
        </w:rPr>
      </w:pPr>
      <w:r>
        <w:rPr>
          <w:u w:val="single"/>
        </w:rPr>
        <w:t>CERTIFICATE OF SERVICE</w:t>
      </w:r>
    </w:p>
    <w:p>
      <w:pPr>
        <w:pStyle w:val="Normal"/>
        <w:jc w:val="both"/>
        <w:rPr/>
      </w:pPr>
      <w:r>
        <w:rPr/>
      </w:r>
    </w:p>
    <w:p>
      <w:pPr>
        <w:pStyle w:val="Normal"/>
        <w:spacing w:lineRule="auto" w:line="360"/>
        <w:jc w:val="both"/>
        <w:rPr/>
      </w:pPr>
      <w:r>
        <w:rPr/>
        <w:tab/>
        <w:t>I hereby certify that I have this day served the foregoing document upon each person designated on the official service list compiled by the Secretary in this proceeding.</w:t>
      </w:r>
    </w:p>
    <w:p>
      <w:pPr>
        <w:pStyle w:val="Normal"/>
        <w:spacing w:lineRule="auto" w:line="360"/>
        <w:jc w:val="both"/>
        <w:rPr/>
      </w:pPr>
      <w:r>
        <w:rPr/>
        <w:tab/>
        <w:t>Dated this 22nd day of June 2001.</w:t>
      </w:r>
    </w:p>
    <w:p>
      <w:pPr>
        <w:pStyle w:val="Normal"/>
        <w:spacing w:lineRule="auto" w:line="360"/>
        <w:jc w:val="both"/>
        <w:rPr/>
      </w:pPr>
      <w:r>
        <w:rPr/>
      </w:r>
    </w:p>
    <w:p>
      <w:pPr>
        <w:pStyle w:val="Normal"/>
        <w:spacing w:lineRule="auto" w:line="360"/>
        <w:jc w:val="both"/>
        <w:rPr/>
      </w:pPr>
      <w:r>
        <w:rPr/>
        <w:tab/>
        <w:tab/>
        <w:tab/>
        <w:tab/>
        <w:tab/>
        <w:tab/>
        <w:t>_______________________________</w:t>
      </w:r>
    </w:p>
    <w:p>
      <w:pPr>
        <w:pStyle w:val="Normal"/>
        <w:spacing w:lineRule="auto" w:line="360"/>
        <w:jc w:val="both"/>
        <w:rPr/>
      </w:pPr>
      <w:r>
        <w:rPr/>
        <w:tab/>
        <w:tab/>
        <w:tab/>
        <w:tab/>
        <w:tab/>
        <w:tab/>
        <w:t>Susan Scott Lindberg</w:t>
        <w:tab/>
        <w:tab/>
        <w:tab/>
        <w:tab/>
        <w:tab/>
        <w:tab/>
      </w:r>
    </w:p>
    <w:p>
      <w:pPr>
        <w:pStyle w:val="TitleStyle"/>
        <w:widowControl/>
        <w:spacing w:lineRule="auto" w:line="480"/>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r>
    </w:p>
    <w:p>
      <w:pPr>
        <w:pStyle w:val="Normal"/>
        <w:spacing w:lineRule="auto" w:line="480"/>
        <w:rPr>
          <w:rFonts w:ascii="Times New Roman" w:hAnsi="Times New Roman" w:cs="Times New Roman"/>
          <w:b/>
          <w:caps/>
          <w:szCs w:val="24"/>
        </w:rPr>
      </w:pPr>
      <w:r>
        <w:rPr>
          <w:rFonts w:cs="Times New Roman"/>
          <w:b/>
          <w:caps/>
          <w:szCs w:val="24"/>
        </w:rPr>
      </w:r>
    </w:p>
    <w:sectPr>
      <w:footerReference w:type="default" r:id="rId4"/>
      <w:footerReference w:type="first" r:id="rId5"/>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lliar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jc w:val="both"/>
        <w:rPr/>
      </w:pPr>
      <w:r>
        <w:rPr>
          <w:rStyle w:val="FootnoteCharacters"/>
        </w:rPr>
        <w:footnoteRef/>
      </w:r>
      <w:r>
        <w:rPr>
          <w:sz w:val="20"/>
        </w:rPr>
        <w:t xml:space="preserve"> </w:t>
      </w:r>
      <w:r>
        <w:rPr>
          <w:sz w:val="20"/>
        </w:rPr>
        <w:t>ENA is formerly Enron Capital &amp; Trade Resources Corp. ("ECT").  Effective September 1, 1999, ECT changed its name to Enron North America Corp.</w:t>
      </w:r>
    </w:p>
  </w:footnote>
  <w:footnote w:id="3">
    <w:p>
      <w:pPr>
        <w:pStyle w:val="FootnoteText"/>
        <w:rPr/>
      </w:pPr>
      <w:r>
        <w:rPr>
          <w:rStyle w:val="FootnoteCharacters"/>
        </w:rPr>
        <w:footnoteRef/>
      </w:r>
      <w:r>
        <w:rPr/>
        <w:t xml:space="preserve"> </w:t>
      </w:r>
      <w:r>
        <w:rPr>
          <w:u w:val="single"/>
        </w:rPr>
        <w:t>See</w:t>
      </w:r>
      <w:r>
        <w:rPr/>
        <w:t xml:space="preserve">, </w:t>
      </w:r>
      <w:r>
        <w:rPr>
          <w:u w:val="single"/>
        </w:rPr>
        <w:t>e.g.</w:t>
      </w:r>
      <w:r>
        <w:rPr/>
        <w:t xml:space="preserve">, </w:t>
      </w:r>
      <w:r>
        <w:rPr>
          <w:u w:val="single"/>
        </w:rPr>
        <w:t>Sierra Pacific Power Company</w:t>
      </w:r>
      <w:r>
        <w:rPr/>
        <w:t xml:space="preserve">, 92 FERC ¶ 61,179 (2000); </w:t>
      </w:r>
      <w:r>
        <w:rPr>
          <w:u w:val="single"/>
        </w:rPr>
        <w:t>Entergy Services, Inc.</w:t>
      </w:r>
      <w:r>
        <w:rPr/>
        <w:t>, 88 FERC ¶ 61,098 (1999).</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paragraph" w:styleId="Heading2">
    <w:name w:val="heading 2"/>
    <w:basedOn w:val="Normal"/>
    <w:next w:val="Normal"/>
    <w:qFormat/>
    <w:pPr>
      <w:keepNext w:val="true"/>
      <w:numPr>
        <w:ilvl w:val="1"/>
        <w:numId w:val="1"/>
      </w:numPr>
      <w:ind w:firstLine="720" w:start="0" w:end="0"/>
      <w:jc w:val="center"/>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
    <w:name w:val="Center"/>
    <w:basedOn w:val="Normal"/>
    <w:qFormat/>
    <w:pPr>
      <w:widowControl w:val="false"/>
      <w:spacing w:lineRule="exact" w:line="260" w:before="260" w:after="0"/>
      <w:jc w:val="center"/>
    </w:pPr>
    <w:rPr>
      <w:rFonts w:ascii="Galliard" w:hAnsi="Galliard" w:cs="Galliard"/>
      <w:szCs w:val="20"/>
    </w:rPr>
  </w:style>
  <w:style w:type="paragraph" w:styleId="TitleStyle">
    <w:name w:val="Title Style"/>
    <w:basedOn w:val="Normal"/>
    <w:qFormat/>
    <w:pPr>
      <w:widowControl w:val="false"/>
      <w:jc w:val="center"/>
    </w:pPr>
    <w:rPr>
      <w:rFonts w:ascii="Galliard" w:hAnsi="Galliard" w:cs="Galliard"/>
      <w:b/>
      <w:caps/>
      <w:szCs w:val="20"/>
    </w:rPr>
  </w:style>
  <w:style w:type="paragraph" w:styleId="BodyTextStyle">
    <w:name w:val="Body Text Style"/>
    <w:basedOn w:val="Normal"/>
    <w:qFormat/>
    <w:pPr>
      <w:widowControl w:val="false"/>
      <w:spacing w:lineRule="exact" w:line="520"/>
      <w:ind w:firstLine="1080" w:start="0" w:end="0"/>
    </w:pPr>
    <w:rPr>
      <w:rFonts w:ascii="Galliard" w:hAnsi="Galliard" w:cs="Galliard"/>
      <w:szCs w:val="20"/>
    </w:rPr>
  </w:style>
  <w:style w:type="paragraph" w:styleId="BodyText2">
    <w:name w:val="Body Text 2"/>
    <w:basedOn w:val="Normal"/>
    <w:qFormat/>
    <w:pPr>
      <w:spacing w:lineRule="auto" w:line="480"/>
      <w:jc w:val="both"/>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2001-06-22T12:46:00Z</dcterms:created>
  <dc:creator>sscott3</dc:creator>
  <dc:description/>
  <dc:language>en-CA</dc:language>
  <cp:lastModifiedBy>sscott3</cp:lastModifiedBy>
  <cp:lastPrinted>2001-06-22T11:52:00Z</cp:lastPrinted>
  <dcterms:modified xsi:type="dcterms:W3CDTF">2001-06-22T14:26:00Z</dcterms:modified>
  <cp:revision>3</cp:revision>
  <dc:subject/>
  <dc:title>UNITED STATES OF AMERICA</dc:title>
</cp:coreProperties>
</file>