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PROPRIETARY TRADING BY ECT INVESTMENTS INC. (“ECTII”) DIRECTLY FROM HOUSTON IN GERMAN-LISTED EQUITIES</w:t>
      </w:r>
    </w:p>
    <w:p>
      <w:pPr>
        <w:pStyle w:val="Normal"/>
        <w:rPr>
          <w:b/>
          <w:sz w:val="22"/>
          <w:u w:val="single"/>
        </w:rPr>
      </w:pPr>
      <w:r>
        <w:rPr>
          <w:b/>
          <w:sz w:val="22"/>
          <w:u w:val="single"/>
        </w:rPr>
      </w:r>
    </w:p>
    <w:p>
      <w:pPr>
        <w:pStyle w:val="Normal"/>
        <w:rPr>
          <w:b/>
          <w:sz w:val="22"/>
          <w:u w:val="single"/>
        </w:rPr>
      </w:pPr>
      <w:r>
        <w:rPr>
          <w:b/>
          <w:sz w:val="22"/>
          <w:u w:val="single"/>
        </w:rPr>
      </w:r>
    </w:p>
    <w:p>
      <w:pPr>
        <w:pStyle w:val="BodyTextIndent"/>
        <w:rPr/>
      </w:pPr>
      <w:r>
        <w:rPr/>
        <w:t>1.</w:t>
        <w:tab/>
      </w:r>
      <w:r>
        <w:rPr>
          <w:b/>
          <w:u w:val="single"/>
        </w:rPr>
        <w:t>Would ECTII require any form of authorisation or licence from the German regulators to carry out proprietary trades in German-listed equities</w:t>
      </w:r>
      <w:r>
        <w:rPr>
          <w:b/>
        </w:rPr>
        <w:t>?</w:t>
      </w:r>
    </w:p>
    <w:p>
      <w:pPr>
        <w:pStyle w:val="Normal"/>
        <w:ind w:hanging="720" w:start="720" w:end="0"/>
        <w:rPr>
          <w:b/>
          <w:sz w:val="22"/>
        </w:rPr>
      </w:pPr>
      <w:r>
        <w:rPr>
          <w:b/>
          <w:sz w:val="22"/>
        </w:rPr>
      </w:r>
    </w:p>
    <w:p>
      <w:pPr>
        <w:pStyle w:val="Heading1"/>
        <w:rPr/>
      </w:pPr>
      <w:r>
        <w:rPr>
          <w:b/>
          <w:u w:val="none"/>
        </w:rPr>
        <w:t xml:space="preserve">Answer: </w:t>
      </w:r>
      <w:r>
        <w:rPr>
          <w:u w:val="none"/>
        </w:rPr>
        <w:t xml:space="preserve"> No</w:t>
      </w:r>
    </w:p>
    <w:p>
      <w:pPr>
        <w:pStyle w:val="Normal"/>
        <w:rPr>
          <w:u w:val="none"/>
        </w:rPr>
      </w:pPr>
      <w:r>
        <w:rPr>
          <w:u w:val="none"/>
        </w:rPr>
      </w:r>
    </w:p>
    <w:p>
      <w:pPr>
        <w:pStyle w:val="BodyTextIndent2"/>
        <w:rPr/>
      </w:pPr>
      <w:r>
        <w:rPr/>
        <w:t>(Note that if EEFT in London ever acted as arranger or agent for ECTII in Houston in respect of German-listed equities, EEFT would need to be “passported” under the Investment Services Directive in Germany.)</w:t>
      </w:r>
    </w:p>
    <w:p>
      <w:pPr>
        <w:pStyle w:val="Normal"/>
        <w:rPr/>
      </w:pPr>
      <w:r>
        <w:rPr/>
      </w:r>
    </w:p>
    <w:p>
      <w:pPr>
        <w:pStyle w:val="BodyTextIndent"/>
        <w:numPr>
          <w:ilvl w:val="0"/>
          <w:numId w:val="4"/>
        </w:numPr>
        <w:rPr/>
      </w:pPr>
      <w:r>
        <w:rPr>
          <w:b/>
          <w:u w:val="single"/>
        </w:rPr>
        <w:t>Would any German conduct of business rules apply to the proposed operation and, if so, what are they?</w:t>
      </w:r>
    </w:p>
    <w:p>
      <w:pPr>
        <w:pStyle w:val="BodyTextIndent"/>
        <w:rPr/>
      </w:pPr>
      <w:r>
        <w:rPr/>
      </w:r>
    </w:p>
    <w:p>
      <w:pPr>
        <w:pStyle w:val="BodyTextIndent"/>
        <w:ind w:start="1440" w:end="0"/>
        <w:rPr/>
      </w:pPr>
      <w:r>
        <w:rPr>
          <w:b/>
        </w:rPr>
        <w:t>Answer:</w:t>
      </w:r>
      <w:r>
        <w:rPr/>
        <w:t xml:space="preserve"> No</w:t>
      </w:r>
    </w:p>
    <w:p>
      <w:pPr>
        <w:pStyle w:val="BodyTextIndent"/>
        <w:ind w:start="1440" w:end="0"/>
        <w:rPr>
          <w:b/>
        </w:rPr>
      </w:pPr>
      <w:r>
        <w:rPr>
          <w:b/>
        </w:rPr>
      </w:r>
    </w:p>
    <w:p>
      <w:pPr>
        <w:pStyle w:val="BodyTextIndent"/>
        <w:ind w:hanging="0" w:end="0"/>
        <w:rPr/>
      </w:pPr>
      <w:r>
        <w:rPr/>
        <w:t xml:space="preserve">(Note that if EEFT in London ever acted as arranger or agent for ECTII in Houston, then EEFT would </w:t>
      </w:r>
      <w:r>
        <w:rPr>
          <w:u w:val="single"/>
        </w:rPr>
        <w:t>not</w:t>
      </w:r>
      <w:r>
        <w:rPr/>
        <w:t xml:space="preserve"> be subject to any Conduct of Business Rules in Germany).</w:t>
      </w:r>
    </w:p>
    <w:p>
      <w:pPr>
        <w:pStyle w:val="BodyTextIndent"/>
        <w:rPr>
          <w:b/>
        </w:rPr>
      </w:pPr>
      <w:r>
        <w:rPr>
          <w:b/>
        </w:rPr>
      </w:r>
    </w:p>
    <w:p>
      <w:pPr>
        <w:pStyle w:val="BodyTextIndent"/>
        <w:numPr>
          <w:ilvl w:val="0"/>
          <w:numId w:val="4"/>
        </w:numPr>
        <w:rPr/>
      </w:pPr>
      <w:r>
        <w:rPr>
          <w:b/>
          <w:u w:val="single"/>
        </w:rPr>
        <w:t>Are there any restrictions which would for example limit the permitted holdings of  a US entity in German-listed companies?</w:t>
      </w:r>
    </w:p>
    <w:p>
      <w:pPr>
        <w:pStyle w:val="BodyTextIndent"/>
        <w:rPr/>
      </w:pPr>
      <w:r>
        <w:rPr/>
      </w:r>
    </w:p>
    <w:p>
      <w:pPr>
        <w:pStyle w:val="BodyTextIndent"/>
        <w:ind w:start="1440" w:end="0"/>
        <w:rPr/>
      </w:pPr>
      <w:r>
        <w:rPr>
          <w:b/>
        </w:rPr>
        <w:t>Answer:</w:t>
      </w:r>
      <w:r>
        <w:rPr/>
        <w:t xml:space="preserve">  No, as far as energy companies, utilities, etc., are concerned. </w:t>
      </w:r>
    </w:p>
    <w:p>
      <w:pPr>
        <w:pStyle w:val="BodyTextIndent"/>
        <w:rPr>
          <w:b/>
        </w:rPr>
      </w:pPr>
      <w:r>
        <w:rPr>
          <w:b/>
        </w:rPr>
      </w:r>
    </w:p>
    <w:p>
      <w:pPr>
        <w:pStyle w:val="BodyTextIndent"/>
        <w:ind w:start="1440" w:end="0"/>
        <w:rPr/>
      </w:pPr>
      <w:r>
        <w:rPr/>
        <w:t>There are certain restrictions in respect of certain other types of entity, for example:-</w:t>
      </w:r>
    </w:p>
    <w:p>
      <w:pPr>
        <w:pStyle w:val="BodyTextIndent"/>
        <w:ind w:start="1440" w:end="0"/>
        <w:rPr/>
      </w:pPr>
      <w:r>
        <w:rPr/>
      </w:r>
    </w:p>
    <w:p>
      <w:pPr>
        <w:pStyle w:val="BodyTextIndent"/>
        <w:numPr>
          <w:ilvl w:val="0"/>
          <w:numId w:val="3"/>
        </w:numPr>
        <w:rPr/>
      </w:pPr>
      <w:r>
        <w:rPr/>
        <w:t>The BAKred (the German regulator) may prohibit the purchase of 10 per cent. or more of the capital of, or of the voting rights of, German banks or financial services’ institutions;</w:t>
      </w:r>
    </w:p>
    <w:p>
      <w:pPr>
        <w:pStyle w:val="Normal"/>
        <w:rPr>
          <w:sz w:val="22"/>
        </w:rPr>
      </w:pPr>
      <w:r>
        <w:rPr>
          <w:sz w:val="22"/>
        </w:rPr>
      </w:r>
    </w:p>
    <w:p>
      <w:pPr>
        <w:pStyle w:val="Normal"/>
        <w:numPr>
          <w:ilvl w:val="0"/>
          <w:numId w:val="3"/>
        </w:numPr>
        <w:rPr>
          <w:sz w:val="22"/>
        </w:rPr>
      </w:pPr>
      <w:r>
        <w:rPr>
          <w:sz w:val="22"/>
        </w:rPr>
        <w:t>The Federal Insurance Supervisory Office (the Bundesaufsichtsamt für das Versicherungswesen, “BAV”) may prohibit the purchase of 10 per cent. or more of the capital or voting rights of German insurance companies, respectively, subject to reviewing the reliability of the actual or potential acquirer.</w:t>
      </w:r>
    </w:p>
    <w:p>
      <w:pPr>
        <w:pStyle w:val="Normal"/>
        <w:rPr>
          <w:sz w:val="22"/>
        </w:rPr>
      </w:pPr>
      <w:r>
        <w:rPr>
          <w:sz w:val="22"/>
        </w:rPr>
      </w:r>
    </w:p>
    <w:p>
      <w:pPr>
        <w:pStyle w:val="BodyTextIndent2"/>
        <w:rPr/>
      </w:pPr>
      <w:r>
        <w:rPr/>
        <w:t xml:space="preserve">In respect of (a) and (b) there are notification requirements under the German banking and insurance supervisory laws with respect to the intent of such a purchase and with respect to the reaching of, or the falling below of, certain thresholds. </w:t>
      </w:r>
    </w:p>
    <w:p>
      <w:pPr>
        <w:pStyle w:val="Normal"/>
        <w:rPr>
          <w:sz w:val="22"/>
        </w:rPr>
      </w:pPr>
      <w:r>
        <w:rPr>
          <w:sz w:val="22"/>
        </w:rPr>
      </w:r>
    </w:p>
    <w:p>
      <w:pPr>
        <w:pStyle w:val="Normal"/>
        <w:numPr>
          <w:ilvl w:val="0"/>
          <w:numId w:val="4"/>
        </w:numPr>
        <w:rPr>
          <w:sz w:val="22"/>
        </w:rPr>
      </w:pPr>
      <w:r>
        <w:rPr>
          <w:b/>
          <w:sz w:val="22"/>
          <w:u w:val="single"/>
        </w:rPr>
        <w:t>Are there any notification requirements which would apply on acquisitions above a certain threshold?</w:t>
      </w:r>
    </w:p>
    <w:p>
      <w:pPr>
        <w:pStyle w:val="Normal"/>
        <w:rPr>
          <w:sz w:val="22"/>
        </w:rPr>
      </w:pPr>
      <w:r>
        <w:rPr>
          <w:sz w:val="22"/>
        </w:rPr>
      </w:r>
    </w:p>
    <w:p>
      <w:pPr>
        <w:pStyle w:val="Normal"/>
        <w:ind w:start="720" w:end="0"/>
        <w:rPr/>
      </w:pPr>
      <w:r>
        <w:rPr>
          <w:b/>
          <w:sz w:val="22"/>
        </w:rPr>
        <w:t>Answer:</w:t>
      </w:r>
      <w:r>
        <w:rPr>
          <w:sz w:val="22"/>
        </w:rPr>
        <w:t xml:space="preserve">  Yes – as follows:-</w:t>
      </w:r>
    </w:p>
    <w:p>
      <w:pPr>
        <w:pStyle w:val="Normal"/>
        <w:ind w:start="720" w:end="0"/>
        <w:rPr>
          <w:sz w:val="22"/>
        </w:rPr>
      </w:pPr>
      <w:r>
        <w:rPr>
          <w:sz w:val="22"/>
        </w:rPr>
      </w:r>
    </w:p>
    <w:p>
      <w:pPr>
        <w:pStyle w:val="Normal"/>
        <w:ind w:hanging="720" w:start="1440" w:end="0"/>
        <w:rPr/>
      </w:pPr>
      <w:r>
        <w:rPr>
          <w:sz w:val="22"/>
        </w:rPr>
        <w:t>(a)</w:t>
        <w:tab/>
        <w:t xml:space="preserve">Section 21 para. 1 of the Securities Trading Act (Wertpapierhandelsgesetz (“WpHG”), provides that any person or company which reaches, </w:t>
      </w:r>
      <w:r>
        <w:rPr>
          <w:sz w:val="22"/>
          <w:u w:val="single"/>
        </w:rPr>
        <w:t>exceeds</w:t>
      </w:r>
      <w:r>
        <w:rPr>
          <w:sz w:val="22"/>
        </w:rPr>
        <w:t xml:space="preserve"> or </w:t>
      </w:r>
      <w:r>
        <w:rPr>
          <w:sz w:val="22"/>
          <w:u w:val="single"/>
        </w:rPr>
        <w:t>falls</w:t>
      </w:r>
      <w:r>
        <w:rPr>
          <w:sz w:val="22"/>
        </w:rPr>
        <w:t xml:space="preserve"> </w:t>
      </w:r>
      <w:r>
        <w:rPr>
          <w:sz w:val="22"/>
          <w:u w:val="single"/>
        </w:rPr>
        <w:t>below five</w:t>
      </w:r>
      <w:r>
        <w:rPr>
          <w:sz w:val="22"/>
        </w:rPr>
        <w:t xml:space="preserve">, </w:t>
      </w:r>
      <w:r>
        <w:rPr>
          <w:sz w:val="22"/>
          <w:u w:val="single"/>
        </w:rPr>
        <w:t>ten</w:t>
      </w:r>
      <w:r>
        <w:rPr>
          <w:sz w:val="22"/>
        </w:rPr>
        <w:t xml:space="preserve">, </w:t>
      </w:r>
      <w:r>
        <w:rPr>
          <w:sz w:val="22"/>
          <w:u w:val="single"/>
        </w:rPr>
        <w:t>twenty-five</w:t>
      </w:r>
      <w:r>
        <w:rPr>
          <w:sz w:val="22"/>
        </w:rPr>
        <w:t xml:space="preserve">, </w:t>
      </w:r>
      <w:r>
        <w:rPr>
          <w:sz w:val="22"/>
          <w:u w:val="single"/>
        </w:rPr>
        <w:t>fifty</w:t>
      </w:r>
      <w:r>
        <w:rPr>
          <w:sz w:val="22"/>
        </w:rPr>
        <w:t xml:space="preserve"> or </w:t>
      </w:r>
      <w:r>
        <w:rPr>
          <w:sz w:val="22"/>
          <w:u w:val="single"/>
        </w:rPr>
        <w:t>seventy-five per cent.</w:t>
      </w:r>
      <w:r>
        <w:rPr>
          <w:sz w:val="22"/>
        </w:rPr>
        <w:t xml:space="preserve"> of the voting rights in a “listed company” (n.b., means a German company whose shares are admitted to official trading on a stock exchange in a European Union or European Economic Area Member State), whether by acquiring or disposing of shares or otherwise, shall </w:t>
      </w:r>
      <w:r>
        <w:rPr>
          <w:sz w:val="22"/>
          <w:u w:val="single"/>
        </w:rPr>
        <w:t>at the latest within a period of seven calendar days</w:t>
      </w:r>
      <w:r>
        <w:rPr>
          <w:sz w:val="22"/>
        </w:rPr>
        <w:t xml:space="preserve"> inform both the company and the Federal Supervisory Office for Securities Trading (the Bundesaufsichtsamt für den Wertpapierhandel, “BAWe”) in writing that it has reached, exceeded or fallen below the aforesaid thresholds, the extent of the voting rights and also notify the BAWe of its address.  </w:t>
      </w:r>
    </w:p>
    <w:p>
      <w:pPr>
        <w:pStyle w:val="Normal"/>
        <w:ind w:start="720" w:end="0"/>
        <w:rPr>
          <w:b/>
          <w:sz w:val="22"/>
        </w:rPr>
      </w:pPr>
      <w:r>
        <w:rPr>
          <w:b/>
          <w:sz w:val="22"/>
        </w:rPr>
      </w:r>
    </w:p>
    <w:p>
      <w:pPr>
        <w:pStyle w:val="Normal"/>
        <w:ind w:hanging="720" w:start="1440" w:end="0"/>
        <w:rPr/>
      </w:pPr>
      <w:r>
        <w:rPr>
          <w:sz w:val="22"/>
        </w:rPr>
        <w:t>(b)</w:t>
        <w:tab/>
        <w:t xml:space="preserve">In addition, Section 23 WpHG provides that voting rights attaching to the shares of a </w:t>
      </w:r>
      <w:r>
        <w:rPr>
          <w:sz w:val="22"/>
          <w:u w:val="single"/>
        </w:rPr>
        <w:t>German stock exchange listed company</w:t>
      </w:r>
      <w:r>
        <w:rPr>
          <w:sz w:val="22"/>
        </w:rPr>
        <w:t xml:space="preserve"> which belong to certain other persons (e.g.,  enterprises which are under common control of the owner of shares, members of voting rights pool, etc.) shall be treated as if they belong to the acquirer.  </w:t>
      </w:r>
    </w:p>
    <w:p>
      <w:pPr>
        <w:pStyle w:val="Normal"/>
        <w:rPr>
          <w:sz w:val="22"/>
        </w:rPr>
      </w:pPr>
      <w:r>
        <w:rPr>
          <w:sz w:val="22"/>
        </w:rPr>
      </w:r>
    </w:p>
    <w:p>
      <w:pPr>
        <w:pStyle w:val="Normal"/>
        <w:numPr>
          <w:ilvl w:val="0"/>
          <w:numId w:val="3"/>
        </w:numPr>
        <w:rPr>
          <w:sz w:val="22"/>
        </w:rPr>
      </w:pPr>
      <w:r>
        <w:rPr>
          <w:sz w:val="22"/>
        </w:rPr>
        <w:t xml:space="preserve">Please note that for the period during which the notification requirements under Section 21 WpHG has not been complied with by the holder of the shares, the voting rights arising out of the shares to which an acquirer or an enterprise controlled directly or indirectly by that acquirer is entitled, may not be exercised. </w:t>
      </w:r>
    </w:p>
    <w:p>
      <w:pPr>
        <w:pStyle w:val="Normal"/>
        <w:rPr>
          <w:sz w:val="22"/>
        </w:rPr>
      </w:pPr>
      <w:r>
        <w:rPr>
          <w:sz w:val="22"/>
        </w:rPr>
      </w:r>
    </w:p>
    <w:p>
      <w:pPr>
        <w:pStyle w:val="Normal"/>
        <w:numPr>
          <w:ilvl w:val="0"/>
          <w:numId w:val="3"/>
        </w:numPr>
        <w:rPr>
          <w:sz w:val="22"/>
        </w:rPr>
      </w:pPr>
      <w:r>
        <w:rPr>
          <w:sz w:val="22"/>
        </w:rPr>
        <w:t xml:space="preserve">A German-listed company which receives notification under Section 21 WpHG must publish it in the German language at the latest within nine calendar days after receiving such notification in at least one “authorised stock exchange journal”.  That company must also immediately (i) publish a notice in the Federal Gazette (the Bundesanzeiger) giving details about the national authorised journal in which the announcement was published and (ii) send the BAWe forthwith a printed copy of the notice published in accordance with this notice. </w:t>
      </w:r>
    </w:p>
    <w:p>
      <w:pPr>
        <w:pStyle w:val="Normal"/>
        <w:ind w:start="720" w:end="0"/>
        <w:rPr>
          <w:sz w:val="22"/>
        </w:rPr>
      </w:pPr>
      <w:r>
        <w:rPr>
          <w:sz w:val="22"/>
        </w:rPr>
      </w:r>
    </w:p>
    <w:p>
      <w:pPr>
        <w:pStyle w:val="Normal"/>
        <w:ind w:hanging="720" w:start="1440" w:end="0"/>
        <w:rPr/>
      </w:pPr>
      <w:r>
        <w:rPr>
          <w:sz w:val="22"/>
        </w:rPr>
        <w:t>(e)</w:t>
        <w:tab/>
        <w:t xml:space="preserve">Additional disclosure obligations for an acquirer and the respective German company are contained in the German Stock Corporation Act (Aktiengesetz “AktG”).  Section 20 of the AktG provides that as soon as an enterprise holds </w:t>
      </w:r>
      <w:r>
        <w:rPr>
          <w:sz w:val="22"/>
          <w:u w:val="single"/>
        </w:rPr>
        <w:t>more than one quarte</w:t>
      </w:r>
      <w:r>
        <w:rPr>
          <w:sz w:val="22"/>
        </w:rPr>
        <w:t xml:space="preserve">r, </w:t>
      </w:r>
      <w:r>
        <w:rPr>
          <w:sz w:val="22"/>
          <w:u w:val="single"/>
        </w:rPr>
        <w:t>or the majority</w:t>
      </w:r>
      <w:r>
        <w:rPr>
          <w:sz w:val="22"/>
        </w:rPr>
        <w:t xml:space="preserve"> of a German stock corporation </w:t>
      </w:r>
      <w:r>
        <w:rPr>
          <w:sz w:val="22"/>
          <w:u w:val="single"/>
        </w:rPr>
        <w:t>or if its holdings shall fall below such thresholds</w:t>
      </w:r>
      <w:r>
        <w:rPr>
          <w:sz w:val="22"/>
        </w:rPr>
        <w:t xml:space="preserve">, it shall promptly inform the German company of that in writing.  Shares held by certain other persons or companies have to be included in the calculation.  The German company shall promptly announce in the company’s designated journals the existence of a shareholding within the meaning of Section 20 of the AktG.  Again, for the period during which the disclosure has not been made by the acquirer, rights arising from the shares held by an enterprise required to make that disclosure may not be exercised by that enterprise, by an enterprise controlled by it or by any other person on behalf of such enterprise or an enterprise controlled by it.  </w:t>
      </w:r>
    </w:p>
    <w:p>
      <w:pPr>
        <w:pStyle w:val="Normal"/>
        <w:ind w:start="720" w:end="0"/>
        <w:rPr>
          <w:sz w:val="22"/>
        </w:rPr>
      </w:pPr>
      <w:r>
        <w:rPr>
          <w:sz w:val="22"/>
        </w:rPr>
      </w:r>
    </w:p>
    <w:p>
      <w:pPr>
        <w:pStyle w:val="Normal"/>
        <w:numPr>
          <w:ilvl w:val="0"/>
          <w:numId w:val="2"/>
        </w:numPr>
        <w:tabs>
          <w:tab w:val="clear" w:pos="720"/>
          <w:tab w:val="left" w:pos="1440" w:leader="none"/>
        </w:tabs>
        <w:ind w:hanging="720" w:start="1440" w:end="0"/>
        <w:rPr>
          <w:sz w:val="22"/>
        </w:rPr>
      </w:pPr>
      <w:r>
        <w:rPr>
          <w:sz w:val="22"/>
        </w:rPr>
        <w:t xml:space="preserve">As ECTII does not wish itself to be admitted as a trader on a German stock exchange but would be dealing through an entity which is admitted to trading on a German stock exchange, please note that the broker/dealer admitted to the German stock exchange will itself make disclosure to the BAWe concerning all transactions in securities or derivatives admitted to trading on a regulated market within the European Economic area or included on a German exchange on the following business day.  The disclosure duties are fulfilled via independent service providers pursuant to computerised procedures.  Hence a German bank or broker dealing with ECTII will have an arrangement with an independent service provider pursuant to which transactions undertaken with ECTII in securities or derivatives admitted to trading on a regulated market within the European Economic area or on a German exchange will be reported by that German bank or broker to the BAWe. </w:t>
      </w:r>
    </w:p>
    <w:p>
      <w:pPr>
        <w:pStyle w:val="Normal"/>
        <w:rPr>
          <w:sz w:val="22"/>
        </w:rPr>
      </w:pPr>
      <w:r>
        <w:rPr>
          <w:sz w:val="22"/>
        </w:rPr>
      </w:r>
    </w:p>
    <w:p>
      <w:pPr>
        <w:pStyle w:val="BodyTextIndent3"/>
        <w:rPr/>
      </w:pPr>
      <w:r>
        <w:rPr/>
        <w:t>Should ECTII or another Enron-entity at some point in the future become an admitted trader itself on a German stock exchange itself it would have to conclude an agreement with such an independent service provider in order to fulfill the disclosure duties under Section 9 of the WpHG.</w:t>
      </w:r>
    </w:p>
    <w:p>
      <w:pPr>
        <w:pStyle w:val="Normal"/>
        <w:rPr>
          <w:sz w:val="22"/>
        </w:rPr>
      </w:pPr>
      <w:r>
        <w:rPr>
          <w:sz w:val="22"/>
        </w:rPr>
      </w:r>
    </w:p>
    <w:p>
      <w:pPr>
        <w:pStyle w:val="Normal"/>
        <w:numPr>
          <w:ilvl w:val="0"/>
          <w:numId w:val="4"/>
        </w:numPr>
        <w:rPr>
          <w:sz w:val="22"/>
        </w:rPr>
      </w:pPr>
      <w:r>
        <w:rPr>
          <w:b/>
          <w:sz w:val="22"/>
          <w:u w:val="single"/>
        </w:rPr>
        <w:t>Are there any German laws and/or regulations on insider dealing in German-listed equities with which ECTII would have to comply and, if so, what are they?  If there are, are there any exemptions, such as maintenance of adequate “Chinese Walls” which would nevertheless allow ECTII still to trade German-listed equities of an issuer even if an Affiliate of, or division of, ECTII had confidential or non-public or price sensitive information on such issuer?</w:t>
      </w:r>
    </w:p>
    <w:p>
      <w:pPr>
        <w:pStyle w:val="Normal"/>
        <w:rPr>
          <w:sz w:val="22"/>
        </w:rPr>
      </w:pPr>
      <w:r>
        <w:rPr>
          <w:sz w:val="22"/>
        </w:rPr>
      </w:r>
    </w:p>
    <w:p>
      <w:pPr>
        <w:pStyle w:val="Normal"/>
        <w:ind w:start="720" w:end="0"/>
        <w:rPr/>
      </w:pPr>
      <w:r>
        <w:rPr>
          <w:b/>
          <w:sz w:val="22"/>
        </w:rPr>
        <w:t>Answer:</w:t>
      </w:r>
      <w:r>
        <w:rPr>
          <w:sz w:val="22"/>
        </w:rPr>
        <w:t xml:space="preserve">  Yes</w:t>
      </w:r>
    </w:p>
    <w:p>
      <w:pPr>
        <w:pStyle w:val="Normal"/>
        <w:ind w:start="720" w:end="0"/>
        <w:rPr>
          <w:b/>
          <w:sz w:val="22"/>
        </w:rPr>
      </w:pPr>
      <w:r>
        <w:rPr>
          <w:b/>
          <w:sz w:val="22"/>
        </w:rPr>
      </w:r>
    </w:p>
    <w:p>
      <w:pPr>
        <w:pStyle w:val="BodyTextIndent2"/>
        <w:rPr/>
      </w:pPr>
      <w:r>
        <w:rPr/>
        <w:t>Basically an “insider” is any person who has knowledge of a fact which is not publicly available relating to one or more issuers of insider securities or to insider securities and which is prone, if it were to become publicly available, to substantially influence the market price of the insider securities.   Please note that “insider securities” as defined in Section 12 of the WpHG are securities which are admitted to trading on a domestic German exchange or are admitted to trading in another European Union or European Economic Area Member State.  “Insider securities” include rights to subscribe for, acquire or dispose of securities, the rights to payment of a margin arrived at by reference to a change in the price of securities, financial or futures’ contracts, as well rights to subscribe for, acquire or dispose of financial futures’ contracts to the extent that such financial futures’ contracts are derived from securities or relate to an index in which the securities are included, and other futures contracts which give rise to an obligation to acquire or dispose of the securities, if such rights or futures contracts are admitted to trading in a European Union or a European Economic Area Member State or are included in a regulated market.</w:t>
      </w:r>
    </w:p>
    <w:p>
      <w:pPr>
        <w:pStyle w:val="Normal"/>
        <w:ind w:start="720" w:end="0"/>
        <w:rPr>
          <w:sz w:val="22"/>
        </w:rPr>
      </w:pPr>
      <w:r>
        <w:rPr>
          <w:sz w:val="22"/>
        </w:rPr>
      </w:r>
    </w:p>
    <w:p>
      <w:pPr>
        <w:pStyle w:val="Normal"/>
        <w:ind w:start="720" w:end="0"/>
        <w:rPr>
          <w:sz w:val="22"/>
        </w:rPr>
      </w:pPr>
      <w:r>
        <w:rPr>
          <w:sz w:val="22"/>
        </w:rPr>
        <w:t>An Insider with such knowledge is forbidden (i) to acquire or dispose of insider securities for his own account or the account of others by exploiting his knowledge of an Insider fact (ii), to communicate the Insider Information to another and (iii) to recommend the acquisition or disposal of Insider Securities to another person on the basis of his knowledge of an Insider fact.</w:t>
      </w:r>
    </w:p>
    <w:p>
      <w:pPr>
        <w:pStyle w:val="Normal"/>
        <w:ind w:start="720" w:end="0"/>
        <w:rPr>
          <w:sz w:val="22"/>
        </w:rPr>
      </w:pPr>
      <w:r>
        <w:rPr>
          <w:sz w:val="22"/>
        </w:rPr>
      </w:r>
    </w:p>
    <w:p>
      <w:pPr>
        <w:pStyle w:val="Normal"/>
        <w:ind w:start="720" w:end="0"/>
        <w:rPr>
          <w:sz w:val="22"/>
        </w:rPr>
      </w:pPr>
      <w:r>
        <w:rPr>
          <w:sz w:val="22"/>
        </w:rPr>
        <w:t xml:space="preserve">Please note that violations of the prohibitions contained in Section 14 are, pursuant to Section 28, criminal offences and violators are liable to imprisonment of up to five years or a fine.  </w:t>
      </w:r>
    </w:p>
    <w:p>
      <w:pPr>
        <w:pStyle w:val="Normal"/>
        <w:ind w:start="720" w:end="0"/>
        <w:rPr>
          <w:sz w:val="22"/>
        </w:rPr>
      </w:pPr>
      <w:r>
        <w:rPr>
          <w:sz w:val="22"/>
        </w:rPr>
      </w:r>
    </w:p>
    <w:p>
      <w:pPr>
        <w:pStyle w:val="BodyTextIndent2"/>
        <w:rPr/>
      </w:pPr>
      <w:r>
        <w:rPr/>
        <w:t xml:space="preserve">The Insider Dealing prohibitions apply to “Insiders” irrespective of the country in which the “Insider” is located.  Chinese Walls which effectively prevent the utilisation or passing on of Insider Information will prevent violation of the statute.  </w:t>
      </w:r>
    </w:p>
    <w:p>
      <w:pPr>
        <w:pStyle w:val="Normal"/>
        <w:rPr>
          <w:sz w:val="22"/>
        </w:rPr>
      </w:pPr>
      <w:r>
        <w:rPr>
          <w:sz w:val="22"/>
        </w:rPr>
      </w:r>
    </w:p>
    <w:p>
      <w:pPr>
        <w:pStyle w:val="Normal"/>
        <w:keepNext w:val="true"/>
        <w:keepLines/>
        <w:numPr>
          <w:ilvl w:val="0"/>
          <w:numId w:val="4"/>
        </w:numPr>
        <w:rPr>
          <w:sz w:val="22"/>
        </w:rPr>
      </w:pPr>
      <w:r>
        <w:rPr>
          <w:b/>
          <w:sz w:val="22"/>
          <w:u w:val="single"/>
        </w:rPr>
        <w:t>Are there any other regulatory requirements or restrictions under the German regulatory system?</w:t>
      </w:r>
    </w:p>
    <w:p>
      <w:pPr>
        <w:pStyle w:val="Normal"/>
        <w:keepNext w:val="true"/>
        <w:keepLines/>
        <w:rPr>
          <w:sz w:val="22"/>
        </w:rPr>
      </w:pPr>
      <w:r>
        <w:rPr>
          <w:sz w:val="22"/>
        </w:rPr>
      </w:r>
    </w:p>
    <w:p>
      <w:pPr>
        <w:pStyle w:val="Normal"/>
        <w:keepNext w:val="true"/>
        <w:keepLines/>
        <w:ind w:start="720" w:end="0"/>
        <w:rPr/>
      </w:pPr>
      <w:r>
        <w:rPr>
          <w:b/>
          <w:sz w:val="22"/>
        </w:rPr>
        <w:t>Answer:</w:t>
      </w:r>
      <w:r>
        <w:rPr>
          <w:sz w:val="22"/>
        </w:rPr>
        <w:t xml:space="preserve">  No. </w:t>
      </w:r>
    </w:p>
    <w:p>
      <w:pPr>
        <w:pStyle w:val="Normal"/>
        <w:rPr>
          <w:b/>
          <w:sz w:val="22"/>
        </w:rPr>
      </w:pPr>
      <w:r>
        <w:rPr>
          <w:b/>
          <w:sz w:val="22"/>
        </w:rPr>
      </w:r>
    </w:p>
    <w:p>
      <w:pPr>
        <w:pStyle w:val="Normal"/>
        <w:numPr>
          <w:ilvl w:val="0"/>
          <w:numId w:val="4"/>
        </w:numPr>
        <w:rPr>
          <w:sz w:val="22"/>
        </w:rPr>
      </w:pPr>
      <w:r>
        <w:rPr>
          <w:b/>
          <w:sz w:val="22"/>
          <w:u w:val="single"/>
        </w:rPr>
        <w:t>Settlement period</w:t>
      </w:r>
    </w:p>
    <w:p>
      <w:pPr>
        <w:pStyle w:val="Normal"/>
        <w:rPr>
          <w:sz w:val="22"/>
        </w:rPr>
      </w:pPr>
      <w:r>
        <w:rPr>
          <w:sz w:val="22"/>
        </w:rPr>
      </w:r>
    </w:p>
    <w:p>
      <w:pPr>
        <w:pStyle w:val="Normal"/>
        <w:ind w:start="720" w:end="0"/>
        <w:rPr>
          <w:sz w:val="22"/>
        </w:rPr>
      </w:pPr>
      <w:r>
        <w:rPr>
          <w:sz w:val="22"/>
        </w:rPr>
        <w:t>T+I</w:t>
      </w:r>
    </w:p>
    <w:p>
      <w:pPr>
        <w:pStyle w:val="Normal"/>
        <w:rPr>
          <w:b/>
          <w:sz w:val="22"/>
        </w:rPr>
      </w:pPr>
      <w:r>
        <w:rPr>
          <w:b/>
          <w:sz w:val="22"/>
        </w:rPr>
      </w:r>
    </w:p>
    <w:p>
      <w:pPr>
        <w:pStyle w:val="Normal"/>
        <w:numPr>
          <w:ilvl w:val="0"/>
          <w:numId w:val="4"/>
        </w:numPr>
        <w:rPr>
          <w:sz w:val="22"/>
        </w:rPr>
      </w:pPr>
      <w:r>
        <w:rPr>
          <w:b/>
          <w:sz w:val="22"/>
          <w:u w:val="single"/>
        </w:rPr>
        <w:t>Is shorting permissible?</w:t>
      </w:r>
    </w:p>
    <w:p>
      <w:pPr>
        <w:pStyle w:val="Normal"/>
        <w:rPr>
          <w:sz w:val="22"/>
        </w:rPr>
      </w:pPr>
      <w:r>
        <w:rPr>
          <w:sz w:val="22"/>
        </w:rPr>
      </w:r>
    </w:p>
    <w:p>
      <w:pPr>
        <w:pStyle w:val="Normal"/>
        <w:ind w:start="720" w:end="0"/>
        <w:rPr/>
      </w:pPr>
      <w:r>
        <w:rPr>
          <w:b/>
          <w:sz w:val="22"/>
        </w:rPr>
        <w:t>Answer:</w:t>
      </w:r>
      <w:r>
        <w:rPr>
          <w:sz w:val="22"/>
        </w:rPr>
        <w:t xml:space="preserve">  Yes.</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Legal\MElliott\Agreements\Proprietary Trading</w:t>
    </w:r>
  </w:p>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u w:val="single"/>
      </w:rPr>
    </w:pPr>
    <w:r>
      <w:rPr>
        <w:sz w:val="18"/>
        <w:u w:val="single"/>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Header"/>
      <w:jc w:val="end"/>
      <w:rPr>
        <w:sz w:val="18"/>
        <w:u w:val="single"/>
      </w:rPr>
    </w:pPr>
    <w:r>
      <w:rPr>
        <w:sz w:val="18"/>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720" w:start="1440" w:end="0"/>
      <w:outlineLvl w:val="0"/>
    </w:pPr>
    <w:rPr>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2"/>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pPr>
    <w:rPr>
      <w:sz w:val="22"/>
    </w:rPr>
  </w:style>
  <w:style w:type="paragraph" w:styleId="BodyTextIndent2">
    <w:name w:val="Body Text Indent 2"/>
    <w:basedOn w:val="Normal"/>
    <w:qFormat/>
    <w:pPr>
      <w:ind w:hanging="0" w:start="720" w:end="0"/>
    </w:pPr>
    <w:rPr>
      <w:sz w:val="22"/>
    </w:rPr>
  </w:style>
  <w:style w:type="paragraph" w:styleId="BodyTextIndent3">
    <w:name w:val="Body Text Indent 3"/>
    <w:basedOn w:val="Normal"/>
    <w:qFormat/>
    <w:pPr>
      <w:ind w:hanging="0" w:start="1440" w:end="0"/>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1999-02-08T11:05:00Z</dcterms:created>
  <dc:creator>NBeales</dc:creator>
  <dc:description/>
  <dc:language>en-CA</dc:language>
  <cp:lastModifiedBy>Mark Elliott</cp:lastModifiedBy>
  <cp:lastPrinted>1999-02-09T16:16:00Z</cp:lastPrinted>
  <dcterms:modified xsi:type="dcterms:W3CDTF">1999-02-09T13:46:00Z</dcterms:modified>
  <cp:revision>5</cp:revision>
  <dc:subject/>
  <dc:title>PROPRIETARY TRADING BY ECT INVESTMENTS INC</dc:title>
</cp:coreProperties>
</file>