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Proposed Settlement Procedures – Setoff Issues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</w:tabs>
        <w:ind w:hanging="360" w:start="540" w:end="0"/>
        <w:rPr/>
      </w:pPr>
      <w:r>
        <w:rPr/>
        <w:t>Single Enron entity trading single commodity type (e.g. power), with single counterparty whether under Master or GTCs, with no setoff issues.</w:t>
      </w:r>
    </w:p>
    <w:p>
      <w:pPr>
        <w:pStyle w:val="Normal"/>
        <w:rPr/>
      </w:pPr>
      <w:r>
        <w:rPr/>
      </w:r>
    </w:p>
    <w:p>
      <w:pPr>
        <w:pStyle w:val="Normal"/>
        <w:ind w:start="900" w:end="0"/>
        <w:rPr/>
      </w:pPr>
      <w:r>
        <w:rPr/>
        <w:t>Assumes:</w:t>
        <w:tab/>
        <w:t>GTC’s can be net</w:t>
      </w:r>
    </w:p>
    <w:p>
      <w:pPr>
        <w:pStyle w:val="Normal"/>
        <w:ind w:start="900" w:end="0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540" w:end="0"/>
        <w:rPr/>
      </w:pPr>
      <w:r>
        <w:rPr/>
        <w:t>Single Enron entity trading multiple commodity types (e.g. ENA gas and financial) with single counterparty, with setoff issues.</w:t>
      </w:r>
    </w:p>
    <w:p>
      <w:pPr>
        <w:pStyle w:val="Normal"/>
        <w:ind w:start="180" w:end="0"/>
        <w:rPr/>
      </w:pPr>
      <w:r>
        <w:rPr/>
      </w:r>
    </w:p>
    <w:p>
      <w:pPr>
        <w:pStyle w:val="Normal"/>
        <w:ind w:start="900" w:end="0"/>
        <w:rPr/>
      </w:pPr>
      <w:r>
        <w:rPr/>
        <w:t>Assumes:</w:t>
        <w:tab/>
        <w:t>Cross-product netting regardless of contractual language in underlying</w:t>
      </w:r>
    </w:p>
    <w:p>
      <w:pPr>
        <w:pStyle w:val="Normal"/>
        <w:ind w:start="900" w:end="0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</w:tabs>
        <w:ind w:hanging="360" w:start="540" w:end="0"/>
        <w:rPr/>
      </w:pPr>
      <w:r>
        <w:rPr/>
        <w:t>Single Enron entity trading multiple commodity types (e.g. ENA gas and financial) with multiple affiliated counterparties, with setoff issues, but only to extent contractual language permits triangular setoff.</w:t>
      </w:r>
    </w:p>
    <w:p>
      <w:pPr>
        <w:pStyle w:val="Normal"/>
        <w:ind w:start="180" w:end="0"/>
        <w:rPr/>
      </w:pPr>
      <w:r>
        <w:rPr/>
      </w:r>
    </w:p>
    <w:p>
      <w:pPr>
        <w:pStyle w:val="BodyTextIndent"/>
        <w:rPr/>
      </w:pPr>
      <w:r>
        <w:rPr/>
        <w:t>Assumes:</w:t>
        <w:tab/>
        <w:t>Cross-product, cross-entity netting (triangular) but only if there is express contractual language</w:t>
      </w:r>
    </w:p>
    <w:p>
      <w:pPr>
        <w:pStyle w:val="BodyTextIndent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</w:tabs>
        <w:ind w:hanging="360" w:start="540" w:end="0"/>
        <w:rPr/>
      </w:pPr>
      <w:r>
        <w:rPr/>
        <w:t>Multiple Enron entities trading multiple commodity types (e.g. EPMI power, ENA gas and financial) with multiple affiliated counterparties, with setoff issues, but only to extent there is a Master Netting Agreement executed by all relevant parties.</w:t>
      </w:r>
    </w:p>
    <w:p>
      <w:pPr>
        <w:pStyle w:val="Normal"/>
        <w:ind w:start="180" w:end="0"/>
        <w:rPr/>
      </w:pPr>
      <w:r>
        <w:rPr/>
      </w:r>
    </w:p>
    <w:p>
      <w:pPr>
        <w:sectPr>
          <w:type w:val="nextPage"/>
          <w:pgSz w:w="12240" w:h="15840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360" w:charSpace="0"/>
        </w:sectPr>
        <w:pStyle w:val="BodyTextIndent"/>
        <w:rPr/>
      </w:pPr>
      <w:r>
        <w:rPr/>
        <w:t>Assumes:</w:t>
        <w:tab/>
        <w:t>Cross-product, cross entity netting (square) but only if there is an executed Master Netting Agreement.</w:t>
      </w:r>
    </w:p>
    <w:p>
      <w:pPr>
        <w:pStyle w:val="BodyTextIndent"/>
        <w:ind w:hanging="0" w:start="0" w:end="0"/>
        <w:rPr/>
      </w:pPr>
      <w:r>
        <w:rPr/>
        <w:t>Enron Settlement Assumptions</w:t>
      </w:r>
    </w:p>
    <w:p>
      <w:pPr>
        <w:pStyle w:val="BodyTextIndent"/>
        <w:ind w:hanging="0" w:start="0" w:end="0"/>
        <w:rPr/>
      </w:pPr>
      <w:r>
        <w:rPr/>
      </w:r>
    </w:p>
    <w:p>
      <w:pPr>
        <w:pStyle w:val="BodyTextIndent"/>
        <w:numPr>
          <w:ilvl w:val="0"/>
          <w:numId w:val="1"/>
        </w:numPr>
        <w:tabs>
          <w:tab w:val="clear" w:pos="720"/>
          <w:tab w:val="left" w:pos="540" w:leader="none"/>
        </w:tabs>
        <w:ind w:hanging="540" w:start="540" w:end="0"/>
        <w:rPr/>
      </w:pPr>
      <w:r>
        <w:rPr>
          <w:u w:val="single"/>
        </w:rPr>
        <w:t>FORWARD STATUS</w:t>
      </w:r>
    </w:p>
    <w:p>
      <w:pPr>
        <w:pStyle w:val="BodyTextIndent"/>
        <w:ind w:hanging="0" w:start="360" w:end="0"/>
        <w:rPr/>
      </w:pPr>
      <w:r>
        <w:rPr/>
      </w:r>
    </w:p>
    <w:p>
      <w:pPr>
        <w:pStyle w:val="BodyTextIndent"/>
        <w:ind w:hanging="360" w:start="900" w:end="0"/>
        <w:rPr/>
      </w:pPr>
      <w:r>
        <w:rPr/>
        <w:t>1.</w:t>
        <w:tab/>
      </w:r>
      <w:r>
        <w:rPr>
          <w:u w:val="single"/>
        </w:rPr>
        <w:t>Forward Contract Status</w:t>
      </w:r>
      <w:r>
        <w:rPr/>
        <w:t>.  Enron believes transactions dealing in the following commodities are Forward, (safe harbored) regardless of term, quantity, end-user.</w:t>
      </w:r>
    </w:p>
    <w:p>
      <w:pPr>
        <w:pStyle w:val="BodyTextIndent"/>
        <w:ind w:hanging="360" w:start="900" w:end="0"/>
        <w:rPr/>
      </w:pPr>
      <w:r>
        <w:rPr/>
      </w:r>
    </w:p>
    <w:p>
      <w:pPr>
        <w:pStyle w:val="BodyTextIndent"/>
        <w:ind w:hanging="360" w:start="900" w:end="0"/>
        <w:rPr/>
      </w:pPr>
      <w:r>
        <w:rPr/>
        <w:tab/>
        <w:t>Gas, and related products</w:t>
      </w:r>
    </w:p>
    <w:p>
      <w:pPr>
        <w:pStyle w:val="BodyTextIndent"/>
        <w:ind w:hanging="360" w:start="900" w:end="0"/>
        <w:rPr/>
      </w:pPr>
      <w:r>
        <w:rPr/>
        <w:tab/>
        <w:t>Power, and related products</w:t>
      </w:r>
    </w:p>
    <w:p>
      <w:pPr>
        <w:pStyle w:val="BodyTextIndent"/>
        <w:ind w:hanging="360" w:start="900" w:end="0"/>
        <w:rPr/>
      </w:pPr>
      <w:r>
        <w:rPr/>
        <w:tab/>
        <w:t>[Julia, Alan, Cynthia to expand list]</w:t>
      </w:r>
    </w:p>
    <w:p>
      <w:pPr>
        <w:pStyle w:val="BodyTextIndent"/>
        <w:ind w:hanging="360" w:start="900" w:end="0"/>
        <w:rPr/>
      </w:pPr>
      <w:r>
        <w:rPr/>
      </w:r>
    </w:p>
    <w:p>
      <w:pPr>
        <w:pStyle w:val="BodyTextIndent"/>
        <w:numPr>
          <w:ilvl w:val="0"/>
          <w:numId w:val="1"/>
        </w:numPr>
        <w:tabs>
          <w:tab w:val="clear" w:pos="720"/>
          <w:tab w:val="left" w:pos="540" w:leader="none"/>
        </w:tabs>
        <w:ind w:hanging="540" w:start="540" w:end="0"/>
        <w:rPr/>
      </w:pPr>
      <w:r>
        <w:rPr>
          <w:u w:val="single"/>
        </w:rPr>
        <w:t>SETOFF BETWEEN SINGLE ENRON ENTITY/SINGLE COUNTERPARTY (CP ENTITY</w:t>
      </w:r>
    </w:p>
    <w:p>
      <w:pPr>
        <w:pStyle w:val="BodyTextIndent"/>
        <w:ind w:hanging="0" w:start="0" w:end="0"/>
        <w:rPr/>
      </w:pPr>
      <w:r>
        <w:rPr/>
      </w:r>
    </w:p>
    <w:p>
      <w:pPr>
        <w:pStyle w:val="BodyTextIndent"/>
        <w:numPr>
          <w:ilvl w:val="1"/>
          <w:numId w:val="1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>
          <w:u w:val="single"/>
        </w:rPr>
        <w:t>Netting within a Single Product</w:t>
      </w:r>
      <w:r>
        <w:rPr/>
        <w:t>.  Enron believes that transactions within a single commodity can be netted even if under multiple GTCs.</w:t>
      </w:r>
    </w:p>
    <w:p>
      <w:pPr>
        <w:pStyle w:val="BodyTextIndent"/>
        <w:rPr/>
      </w:pPr>
      <w:r>
        <w:rPr/>
      </w:r>
    </w:p>
    <w:p>
      <w:pPr>
        <w:pStyle w:val="BodyTextIndent"/>
        <w:numPr>
          <w:ilvl w:val="1"/>
          <w:numId w:val="1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>
          <w:u w:val="single"/>
        </w:rPr>
        <w:t>Netting within Multiple Forwards</w:t>
      </w:r>
      <w:r>
        <w:rPr/>
        <w:t>.  Enron believes that multiple Forward contracts with single Enron entity/single CP entity can be netted, even without express contractual language.</w:t>
      </w:r>
    </w:p>
    <w:p>
      <w:pPr>
        <w:pStyle w:val="BodyTextIndent"/>
        <w:ind w:hanging="0" w:start="0" w:end="0"/>
        <w:rPr/>
      </w:pPr>
      <w:r>
        <w:rPr/>
      </w:r>
    </w:p>
    <w:p>
      <w:pPr>
        <w:pStyle w:val="BodyTextIndent"/>
        <w:numPr>
          <w:ilvl w:val="1"/>
          <w:numId w:val="1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>
          <w:u w:val="single"/>
        </w:rPr>
        <w:t>Netting of Forwards/Swaps</w:t>
      </w:r>
      <w:r>
        <w:rPr/>
        <w:t>.  Enron believes that physically settled/financially settled contracts with single Enron entity/single CP can be netted, even without express contractual language.</w:t>
      </w:r>
    </w:p>
    <w:p>
      <w:pPr>
        <w:pStyle w:val="BodyTextIndent"/>
        <w:ind w:hanging="0" w:start="0" w:end="0"/>
        <w:rPr/>
      </w:pPr>
      <w:r>
        <w:rPr/>
      </w:r>
    </w:p>
    <w:p>
      <w:pPr>
        <w:pStyle w:val="BodyTextIndent"/>
        <w:numPr>
          <w:ilvl w:val="0"/>
          <w:numId w:val="1"/>
        </w:numPr>
        <w:tabs>
          <w:tab w:val="clear" w:pos="720"/>
          <w:tab w:val="left" w:pos="540" w:leader="none"/>
        </w:tabs>
        <w:ind w:hanging="540" w:start="540" w:end="0"/>
        <w:rPr>
          <w:u w:val="single"/>
        </w:rPr>
      </w:pPr>
      <w:r>
        <w:rPr>
          <w:u w:val="single"/>
        </w:rPr>
        <w:t>SETOFF BETWEEN MULTIPLE ENRON ENTITIES/MULTIPLE COUNTERPARTY (CP) ENTITIES</w:t>
      </w:r>
    </w:p>
    <w:p>
      <w:pPr>
        <w:pStyle w:val="BodyTextIndent"/>
        <w:ind w:hanging="0" w:start="0" w:end="0"/>
        <w:rPr>
          <w:u w:val="single"/>
        </w:rPr>
      </w:pPr>
      <w:r>
        <w:rPr>
          <w:u w:val="single"/>
        </w:rPr>
      </w:r>
    </w:p>
    <w:p>
      <w:pPr>
        <w:pStyle w:val="BodyTextIndent"/>
        <w:numPr>
          <w:ilvl w:val="1"/>
          <w:numId w:val="1"/>
        </w:numPr>
        <w:tabs>
          <w:tab w:val="clear" w:pos="720"/>
          <w:tab w:val="left" w:pos="1080" w:leader="none"/>
        </w:tabs>
        <w:ind w:hanging="360" w:start="1080" w:end="0"/>
        <w:rPr>
          <w:u w:val="single"/>
        </w:rPr>
      </w:pPr>
      <w:r>
        <w:rPr>
          <w:u w:val="single"/>
        </w:rPr>
        <w:t>Triangular Setoff</w:t>
      </w:r>
      <w:r>
        <w:rPr/>
        <w:t>.  Enron believes that triangular setoff is enforceable if contractually agreed to.</w:t>
      </w:r>
    </w:p>
    <w:p>
      <w:pPr>
        <w:pStyle w:val="BodyTextIndent"/>
        <w:ind w:hanging="0" w:start="720" w:end="0"/>
        <w:rPr>
          <w:u w:val="single"/>
        </w:rPr>
      </w:pPr>
      <w:r>
        <w:rPr>
          <w:u w:val="single"/>
        </w:rPr>
      </w:r>
    </w:p>
    <w:p>
      <w:pPr>
        <w:pStyle w:val="BodyTextIndent"/>
        <w:numPr>
          <w:ilvl w:val="1"/>
          <w:numId w:val="1"/>
        </w:numPr>
        <w:tabs>
          <w:tab w:val="clear" w:pos="720"/>
          <w:tab w:val="left" w:pos="1080" w:leader="none"/>
        </w:tabs>
        <w:ind w:hanging="360" w:start="1080" w:end="0"/>
        <w:rPr>
          <w:u w:val="single"/>
        </w:rPr>
      </w:pPr>
      <w:r>
        <w:rPr>
          <w:u w:val="single"/>
        </w:rPr>
        <w:t>Square Setoff</w:t>
      </w:r>
      <w:r>
        <w:rPr/>
        <w:t>.  Enron believes square setoff is enforceable if there is a proper Master Netting Agreement executed by all Parties.</w:t>
      </w:r>
    </w:p>
    <w:p>
      <w:pPr>
        <w:pStyle w:val="BodyTextIndent"/>
        <w:ind w:hanging="0" w:start="0" w:end="0"/>
        <w:rPr>
          <w:u w:val="single"/>
        </w:rPr>
      </w:pPr>
      <w:r>
        <w:rPr>
          <w:u w:val="single"/>
        </w:rPr>
      </w:r>
    </w:p>
    <w:p>
      <w:pPr>
        <w:pStyle w:val="BodyTextIndent"/>
        <w:ind w:hanging="0" w:start="0" w:end="0"/>
        <w:rPr>
          <w:u w:val="single"/>
        </w:rPr>
      </w:pPr>
      <w:r>
        <w:rPr>
          <w:u w:val="single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start"/>
      <w:pPr>
        <w:tabs>
          <w:tab w:val="num" w:pos="1080"/>
        </w:tabs>
        <w:ind w:start="1080" w:hanging="72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1260" w:start="2160" w:end="0"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2001-12-17T13:05:00Z</dcterms:created>
  <dc:creator>carolyngeorge</dc:creator>
  <dc:description/>
  <dc:language>en-CA</dc:language>
  <cp:lastModifiedBy>carolyngeorge</cp:lastModifiedBy>
  <dcterms:modified xsi:type="dcterms:W3CDTF">2001-12-17T13:45:00Z</dcterms:modified>
  <cp:revision>1</cp:revision>
  <dc:subject/>
  <dc:title>Proposed Settlement Procedures – Setoff Issues</dc:title>
</cp:coreProperties>
</file>