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hAnsi="CG Times" w:cs="CG Times"/>
        </w:rPr>
      </w:pPr>
      <w:r>
        <mc:AlternateContent>
          <mc:Choice Requires="wps">
            <w:drawing>
              <wp:anchor behindDoc="0" distT="0" distB="0" distL="114935" distR="114935" simplePos="0" locked="0" layoutInCell="1" allowOverlap="1" relativeHeight="3">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CG Times" w:ascii="CG Times" w:hAnsi="CG Times"/>
        </w:rPr>
        <w:t>Senate Proposed Legislation</w:t>
      </w:r>
    </w:p>
    <w:p>
      <w:pPr>
        <w:pStyle w:val="Normal"/>
        <w:jc w:val="center"/>
        <w:rPr>
          <w:rFonts w:ascii="CG Times" w:hAnsi="CG Times" w:cs="CG Times"/>
        </w:rPr>
      </w:pPr>
      <w:r>
        <w:rPr>
          <w:rFonts w:cs="CG Times" w:ascii="CG Times" w:hAnsi="CG Times"/>
        </w:rPr>
        <w:t>Physical Commodities</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An analysis of the Commodity Exchange Act (CEA) as it is proposed to be applied to physical commodities (other than agricultural commodities) is divided between bilateral transactions (not executed on a trading facility/multilateral transaction execution facility (MTEF)) and trading facility/MTEF transactions.</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I.</w:t>
        <w:tab/>
      </w:r>
      <w:r>
        <w:rPr>
          <w:rFonts w:cs="CG Times" w:ascii="CG Times" w:hAnsi="CG Times"/>
          <w:u w:val="single"/>
        </w:rPr>
        <w:t>Bilateral Transactions</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Physical (non-agricultural) and financial commodity transactions are to be treated the same; both are excluded from the CEA to the extent that they are executed between eligible contract participants.</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II.</w:t>
        <w:tab/>
      </w:r>
      <w:r>
        <w:rPr>
          <w:rFonts w:cs="CG Times" w:ascii="CG Times" w:hAnsi="CG Times"/>
          <w:u w:val="single"/>
        </w:rPr>
        <w:t>Trading Facility/MTEF Transactions</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r>
      <w:r>
        <w:rPr>
          <w:rFonts w:cs="CG Times" w:ascii="CG Times" w:hAnsi="CG Times"/>
          <w:u w:val="single"/>
        </w:rPr>
        <w:t>Definition</w:t>
      </w:r>
      <w:r>
        <w:rPr>
          <w:rFonts w:cs="CG Times" w:ascii="CG Times" w:hAnsi="CG Times"/>
        </w:rPr>
        <w:t>:</w:t>
      </w:r>
    </w:p>
    <w:p>
      <w:pPr>
        <w:pStyle w:val="Normal"/>
        <w:jc w:val="both"/>
        <w:rPr>
          <w:rFonts w:ascii="CG Times" w:hAnsi="CG Times" w:cs="CG Times"/>
        </w:rPr>
      </w:pPr>
      <w:r>
        <w:rPr>
          <w:rFonts w:cs="CG Times" w:ascii="CG Times" w:hAnsi="CG Times"/>
        </w:rPr>
      </w:r>
    </w:p>
    <w:p>
      <w:pPr>
        <w:pStyle w:val="Normal"/>
        <w:numPr>
          <w:ilvl w:val="0"/>
          <w:numId w:val="3"/>
        </w:numPr>
        <w:tabs>
          <w:tab w:val="clear" w:pos="720"/>
          <w:tab w:val="left" w:pos="1080" w:leader="none"/>
        </w:tabs>
        <w:ind w:hanging="360" w:start="1080" w:end="0"/>
        <w:jc w:val="both"/>
        <w:rPr/>
      </w:pPr>
      <w:r>
        <w:rPr>
          <w:rFonts w:cs="CG Times" w:ascii="CG Times" w:hAnsi="CG Times"/>
        </w:rPr>
        <w:t>A trading facility/MTEF does not include communications systems, voice brokerage, one market-maker systems or facilities that include qualified credit screens or filters.  These types of transactions, therefore, would qualify for the bilateral transaction exclusion.</w:t>
      </w:r>
    </w:p>
    <w:p>
      <w:pPr>
        <w:pStyle w:val="Normal"/>
        <w:jc w:val="both"/>
        <w:rPr>
          <w:rFonts w:ascii="CG Times" w:hAnsi="CG Times" w:cs="CG Times"/>
        </w:rPr>
      </w:pPr>
      <w:r>
        <w:rPr>
          <w:rFonts w:cs="CG Times" w:ascii="CG Times" w:hAnsi="CG Times"/>
        </w:rPr>
      </w:r>
    </w:p>
    <w:p>
      <w:pPr>
        <w:pStyle w:val="Normal"/>
        <w:ind w:start="720" w:end="0"/>
        <w:jc w:val="both"/>
        <w:rPr>
          <w:rFonts w:ascii="CG Times" w:hAnsi="CG Times" w:cs="CG Times"/>
          <w:u w:val="single"/>
        </w:rPr>
      </w:pPr>
      <w:r>
        <w:rPr>
          <w:rFonts w:cs="CG Times" w:ascii="CG Times" w:hAnsi="CG Times"/>
          <w:u w:val="single"/>
        </w:rPr>
        <w:t>Exempted Trading Facility/MTEF</w:t>
      </w:r>
    </w:p>
    <w:p>
      <w:pPr>
        <w:pStyle w:val="Normal"/>
        <w:ind w:start="720" w:end="0"/>
        <w:jc w:val="both"/>
        <w:rPr>
          <w:rFonts w:ascii="CG Times" w:hAnsi="CG Times" w:cs="CG Times"/>
          <w:u w:val="single"/>
        </w:rPr>
      </w:pPr>
      <w:r>
        <w:rPr>
          <w:rFonts w:cs="CG Times" w:ascii="CG Times" w:hAnsi="CG Times"/>
          <w:u w:val="single"/>
        </w:rPr>
      </w:r>
    </w:p>
    <w:p>
      <w:pPr>
        <w:pStyle w:val="Normal"/>
        <w:numPr>
          <w:ilvl w:val="0"/>
          <w:numId w:val="5"/>
        </w:numPr>
        <w:tabs>
          <w:tab w:val="clear" w:pos="720"/>
          <w:tab w:val="left" w:pos="1080" w:leader="none"/>
        </w:tabs>
        <w:ind w:hanging="360" w:start="1080" w:end="0"/>
        <w:jc w:val="both"/>
        <w:rPr/>
      </w:pPr>
      <w:r>
        <w:rPr>
          <w:rFonts w:cs="CG Times" w:ascii="CG Times" w:hAnsi="CG Times"/>
        </w:rPr>
        <w:t>Trading facility/MTEF transactions involving physical commodities (other than agricultural commodities) that are limited to qualified “commercial participants” trading for their own account (or the account of affiliates) would qualify to be exempted trading facilities, exempted from the CEA.  For this purpose, commercial participants would be limited to (i) any party that, in connection with its business, makes or takes delivery of the underlying physical commodity or regularly incurs risks related to such commodity or (ii) entities whose business includes regularly providing hedging, risk management or market-making services to entities encompassed within (i) above.</w:t>
      </w:r>
    </w:p>
    <w:p>
      <w:pPr>
        <w:pStyle w:val="Normal"/>
        <w:jc w:val="both"/>
        <w:rPr/>
      </w:pPr>
      <w:r>
        <w:rPr/>
      </w:r>
    </w:p>
    <w:p>
      <w:pPr>
        <w:pStyle w:val="Normal"/>
        <w:ind w:firstLine="720" w:end="0"/>
        <w:jc w:val="both"/>
        <w:rPr>
          <w:rFonts w:ascii="CG Times" w:hAnsi="CG Times" w:cs="CG Times"/>
        </w:rPr>
      </w:pPr>
      <w:r>
        <w:rPr>
          <w:rFonts w:cs="CG Times" w:ascii="CG Times" w:hAnsi="CG Times"/>
          <w:u w:val="single"/>
        </w:rPr>
        <w:t>Limited Oversight Trading Facility/MTEF</w:t>
      </w:r>
    </w:p>
    <w:p>
      <w:pPr>
        <w:pStyle w:val="Normal"/>
        <w:jc w:val="both"/>
        <w:rPr>
          <w:rFonts w:ascii="CG Times" w:hAnsi="CG Times" w:cs="CG Times"/>
        </w:rPr>
      </w:pPr>
      <w:r>
        <w:rPr>
          <w:rFonts w:cs="CG Times" w:ascii="CG Times" w:hAnsi="CG Times"/>
        </w:rPr>
      </w:r>
    </w:p>
    <w:p>
      <w:pPr>
        <w:pStyle w:val="Normal"/>
        <w:numPr>
          <w:ilvl w:val="0"/>
          <w:numId w:val="4"/>
        </w:numPr>
        <w:tabs>
          <w:tab w:val="clear" w:pos="720"/>
          <w:tab w:val="left" w:pos="1080" w:leader="none"/>
        </w:tabs>
        <w:ind w:hanging="360" w:start="1080" w:end="0"/>
        <w:jc w:val="both"/>
        <w:rPr>
          <w:rFonts w:ascii="CG Times" w:hAnsi="CG Times" w:cs="CG Times"/>
        </w:rPr>
      </w:pPr>
      <w:r>
        <w:rPr>
          <w:rFonts w:cs="CG Times" w:ascii="CG Times" w:hAnsi="CG Times"/>
        </w:rPr>
        <w:t>Trading Facility/MTEF transactions in physical (non-agricultural) commodities that are not limited to commercial participants (but would be limited to eligible contract participants) would be subject to CFTC oversight.  The trading facility/MTEF would self-certify that it is in compliance with defined core principles relating to:</w:t>
      </w:r>
    </w:p>
    <w:p>
      <w:pPr>
        <w:pStyle w:val="Normal"/>
        <w:jc w:val="both"/>
        <w:rPr>
          <w:rFonts w:ascii="CG Times" w:hAnsi="CG Times" w:cs="CG Times"/>
        </w:rPr>
      </w:pPr>
      <w:r>
        <w:rPr>
          <w:rFonts w:cs="CG Times" w:ascii="CG Times" w:hAnsi="CG Times"/>
        </w:rPr>
      </w:r>
    </w:p>
    <w:p>
      <w:pPr>
        <w:pStyle w:val="Normal"/>
        <w:ind w:hanging="360" w:start="1440" w:end="0"/>
        <w:jc w:val="both"/>
        <w:rPr/>
      </w:pPr>
      <w:r>
        <w:rPr>
          <w:rFonts w:cs="CG Times" w:ascii="CG Times" w:hAnsi="CG Times"/>
        </w:rPr>
        <w:t>1.</w:t>
        <w:tab/>
      </w:r>
      <w:r>
        <w:rPr>
          <w:rFonts w:cs="CG Times" w:ascii="CG Times" w:hAnsi="CG Times"/>
          <w:u w:val="single"/>
        </w:rPr>
        <w:t>Terms and Conditions and Enforcement</w:t>
      </w:r>
      <w:r>
        <w:rPr>
          <w:rFonts w:cs="CG Times" w:ascii="CG Times" w:hAnsi="CG Times"/>
        </w:rPr>
        <w:t>.  The trading facility/MTEF will establish terms and conditions of trading including eligibility criteria and procedures for posting bids and offers and the obligations of participants with respect to matched transactions.  Participants found not to be in compliance with these terms and conditions will be subject to sanctions by the trading facility/MTEF including suspensions, limitations or termination of access.</w:t>
      </w:r>
    </w:p>
    <w:p>
      <w:pPr>
        <w:pStyle w:val="Normal"/>
        <w:jc w:val="both"/>
        <w:rPr>
          <w:rFonts w:ascii="CG Times" w:hAnsi="CG Times" w:cs="CG Times"/>
        </w:rPr>
      </w:pPr>
      <w:r>
        <w:rPr>
          <w:rFonts w:cs="CG Times" w:ascii="CG Times" w:hAnsi="CG Times"/>
        </w:rPr>
      </w:r>
    </w:p>
    <w:p>
      <w:pPr>
        <w:pStyle w:val="Normal"/>
        <w:ind w:hanging="360" w:start="1440" w:end="0"/>
        <w:jc w:val="both"/>
        <w:rPr/>
      </w:pPr>
      <w:r>
        <w:rPr>
          <w:rFonts w:cs="CG Times" w:ascii="CG Times" w:hAnsi="CG Times"/>
        </w:rPr>
        <w:t>2.</w:t>
        <w:tab/>
      </w:r>
      <w:r>
        <w:rPr>
          <w:rFonts w:cs="CG Times" w:ascii="CG Times" w:hAnsi="CG Times"/>
          <w:u w:val="single"/>
        </w:rPr>
        <w:t>Fair Access</w:t>
      </w:r>
      <w:r>
        <w:rPr>
          <w:rFonts w:cs="CG Times" w:ascii="CG Times" w:hAnsi="CG Times"/>
        </w:rPr>
        <w:t>:</w:t>
        <w:tab/>
        <w:t>All participants to be provided with disclosure of all material aspects of the operation of the trading facility/MTEF and of the terms and conditions of trading.</w:t>
      </w:r>
    </w:p>
    <w:p>
      <w:pPr>
        <w:pStyle w:val="Normal"/>
        <w:jc w:val="both"/>
        <w:rPr>
          <w:rFonts w:ascii="CG Times" w:hAnsi="CG Times" w:cs="CG Times"/>
        </w:rPr>
      </w:pPr>
      <w:r>
        <w:rPr>
          <w:rFonts w:cs="CG Times" w:ascii="CG Times" w:hAnsi="CG Times"/>
        </w:rPr>
      </w:r>
    </w:p>
    <w:p>
      <w:pPr>
        <w:pStyle w:val="Normal"/>
        <w:tabs>
          <w:tab w:val="clear" w:pos="720"/>
          <w:tab w:val="left" w:pos="1440" w:leader="none"/>
        </w:tabs>
        <w:ind w:hanging="360" w:start="1440" w:end="0"/>
        <w:jc w:val="both"/>
        <w:rPr/>
      </w:pPr>
      <w:r>
        <w:rPr>
          <w:rFonts w:cs="CG Times" w:ascii="CG Times" w:hAnsi="CG Times"/>
        </w:rPr>
        <w:t>3.</w:t>
        <w:tab/>
      </w:r>
      <w:r>
        <w:rPr>
          <w:rFonts w:cs="CG Times" w:ascii="CG Times" w:hAnsi="CG Times"/>
          <w:u w:val="single"/>
        </w:rPr>
        <w:t>Fitness</w:t>
      </w:r>
      <w:r>
        <w:rPr>
          <w:rFonts w:cs="CG Times" w:ascii="CG Times" w:hAnsi="CG Times"/>
        </w:rPr>
        <w:t>.  Board members and senior executives of the trading facility/MTEF will satisfy specified fitness criteria, including that such persons are not subject to any statutory disqualification under the CEA.</w:t>
      </w:r>
    </w:p>
    <w:p>
      <w:pPr>
        <w:pStyle w:val="Normal"/>
        <w:jc w:val="both"/>
        <w:rPr>
          <w:rFonts w:ascii="CG Times" w:hAnsi="CG Times" w:cs="CG Times"/>
        </w:rPr>
      </w:pPr>
      <w:r>
        <w:rPr>
          <w:rFonts w:cs="CG Times" w:ascii="CG Times" w:hAnsi="CG Times"/>
        </w:rPr>
      </w:r>
    </w:p>
    <w:p>
      <w:pPr>
        <w:pStyle w:val="Normal"/>
        <w:tabs>
          <w:tab w:val="clear" w:pos="720"/>
          <w:tab w:val="left" w:pos="1440" w:leader="none"/>
        </w:tabs>
        <w:ind w:hanging="360" w:start="1440" w:end="0"/>
        <w:jc w:val="both"/>
        <w:rPr/>
      </w:pPr>
      <w:r>
        <w:rPr>
          <w:rFonts w:cs="CG Times" w:ascii="CG Times" w:hAnsi="CG Times"/>
        </w:rPr>
        <w:t>4.</w:t>
        <w:tab/>
      </w:r>
      <w:r>
        <w:rPr>
          <w:rFonts w:cs="CG Times" w:ascii="CG Times" w:hAnsi="CG Times"/>
          <w:u w:val="single"/>
        </w:rPr>
        <w:t>Recordkeeping and Disclosure</w:t>
      </w:r>
      <w:r>
        <w:rPr>
          <w:rFonts w:cs="CG Times" w:ascii="CG Times" w:hAnsi="CG Times"/>
        </w:rPr>
        <w:t>.  The trading facility/MTEF will record and maintain records of all effected transactions.  Participants will be provided information regarding prices, bids and offers and other appropriate information.  With respect to actively traded products used as a significant price source, the trading facility/MTEF will make price ranges, daily volumes and other relevant information publicly available.  All such information will be available for inspection or review by the CFTC.</w:t>
      </w:r>
    </w:p>
    <w:p>
      <w:pPr>
        <w:pStyle w:val="Normal"/>
        <w:jc w:val="both"/>
        <w:rPr>
          <w:rFonts w:ascii="CG Times" w:hAnsi="CG Times" w:cs="CG Times"/>
        </w:rPr>
      </w:pPr>
      <w:r>
        <w:rPr>
          <w:rFonts w:cs="CG Times" w:ascii="CG Times" w:hAnsi="CG Times"/>
        </w:rPr>
      </w:r>
    </w:p>
    <w:p>
      <w:pPr>
        <w:pStyle w:val="Normal"/>
        <w:ind w:firstLine="720" w:end="0"/>
        <w:jc w:val="both"/>
        <w:rPr>
          <w:rFonts w:ascii="CG Times" w:hAnsi="CG Times" w:cs="CG Times"/>
        </w:rPr>
      </w:pPr>
      <w:r>
        <w:rPr>
          <w:rFonts w:cs="CG Times" w:ascii="CG Times" w:hAnsi="CG Times"/>
          <w:u w:val="single"/>
        </w:rPr>
        <w:t>Clearing</w:t>
      </w:r>
    </w:p>
    <w:p>
      <w:pPr>
        <w:pStyle w:val="Normal"/>
        <w:jc w:val="both"/>
        <w:rPr>
          <w:rFonts w:ascii="CG Times" w:hAnsi="CG Times" w:cs="CG Times"/>
        </w:rPr>
      </w:pPr>
      <w:r>
        <w:rPr>
          <w:rFonts w:cs="CG Times" w:ascii="CG Times" w:hAnsi="CG Times"/>
        </w:rPr>
      </w:r>
    </w:p>
    <w:p>
      <w:pPr>
        <w:pStyle w:val="Normal"/>
        <w:numPr>
          <w:ilvl w:val="0"/>
          <w:numId w:val="2"/>
        </w:numPr>
        <w:tabs>
          <w:tab w:val="clear" w:pos="720"/>
          <w:tab w:val="left" w:pos="1080" w:leader="none"/>
        </w:tabs>
        <w:ind w:hanging="360" w:start="1080" w:end="0"/>
        <w:jc w:val="both"/>
        <w:rPr>
          <w:rFonts w:ascii="CG Times" w:hAnsi="CG Times" w:cs="CG Times"/>
        </w:rPr>
      </w:pPr>
      <w:r>
        <w:rPr>
          <w:rFonts w:cs="CG Times" w:ascii="CG Times" w:hAnsi="CG Times"/>
        </w:rPr>
        <w:t>Including clearing of transactions as part of a trading facility/MTEF does not change its character or the applicability of the criteria set forth above.  However, the clearing activity itself will be subject to governmental oversight including the possible choice of CFTC oversight pursuant to specified core principles.</w:t>
      </w:r>
    </w:p>
    <w:p>
      <w:pPr>
        <w:pStyle w:val="Normal"/>
        <w:jc w:val="both"/>
        <w:rPr>
          <w:rFonts w:ascii="CG Times" w:hAnsi="CG Times" w:cs="CG Times"/>
        </w:rPr>
      </w:pPr>
      <w:r>
        <w:rPr>
          <w:rFonts w:cs="CG Times" w:ascii="CG Times" w:hAnsi="CG Times"/>
        </w:rPr>
      </w:r>
    </w:p>
    <w:sectPr>
      <w:footerReference w:type="default" r:id="rId2"/>
      <w:footerReference w:type="first" r:id="rId3"/>
      <w:type w:val="nextPage"/>
      <w:pgSz w:w="12240" w:h="15840"/>
      <w:pgMar w:left="1440" w:right="1440" w:gutter="0" w:header="0" w:top="1915" w:footer="720" w:bottom="9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9207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2000-05-25T17:50:00Z</dcterms:created>
  <dc:creator>For Help Call PC Support, x 4277</dc:creator>
  <dc:description/>
  <dc:language>en-CA</dc:language>
  <cp:lastModifiedBy>For Help Call PC Support, x 4277</cp:lastModifiedBy>
  <cp:lastPrinted>2000-05-25T09:04:00Z</cp:lastPrinted>
  <dcterms:modified xsi:type="dcterms:W3CDTF">2000-05-25T17:50:00Z</dcterms:modified>
  <cp:revision>2</cp:revision>
  <dc:subject/>
  <dc:title>test</dc:title>
</cp:coreProperties>
</file>