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rFonts w:ascii="BernhardMod BT" w:hAnsi="BernhardMod BT" w:cs="BernhardMod BT"/>
          <w:b/>
          <w:i/>
          <w:i/>
          <w:sz w:val="30"/>
        </w:rPr>
      </w:pPr>
      <w:r>
        <w:rPr>
          <w:rFonts w:cs="BernhardMod BT" w:ascii="BernhardMod BT" w:hAnsi="BernhardMod BT"/>
          <w:b/>
          <w:i/>
          <w:sz w:val="30"/>
        </w:rPr>
        <w:t>Gas Accord II Settlement</w:t>
      </w:r>
    </w:p>
    <w:p>
      <w:pPr>
        <w:pStyle w:val="Normal"/>
        <w:spacing w:before="120" w:after="0"/>
        <w:jc w:val="center"/>
        <w:rPr>
          <w:rFonts w:ascii="Bookman Old Style" w:hAnsi="Bookman Old Style" w:cs="Bookman Old Style"/>
          <w:b/>
          <w:sz w:val="30"/>
        </w:rPr>
      </w:pPr>
      <w:bookmarkStart w:id="0" w:name="DocTitle"/>
      <w:bookmarkEnd w:id="0"/>
      <w:r>
        <w:rPr>
          <w:rFonts w:cs="Bookman Old Style" w:ascii="Bookman Old Style" w:hAnsi="Bookman Old Style"/>
          <w:b/>
          <w:sz w:val="30"/>
        </w:rPr>
        <w:t>Proposed Meeting/Workshop Schedule</w:t>
      </w:r>
    </w:p>
    <w:p>
      <w:pPr>
        <w:pStyle w:val="Normal"/>
        <w:spacing w:before="60" w:after="0"/>
        <w:jc w:val="center"/>
        <w:rPr/>
      </w:pPr>
      <w:bookmarkStart w:id="1" w:name="DocTitle"/>
      <w:bookmarkStart w:id="2" w:name="DocDate"/>
      <w:bookmarkEnd w:id="1"/>
      <w:r>
        <w:rPr/>
        <w:t>(September 8, 2000)</w:t>
      </w:r>
      <w:bookmarkEnd w:id="2"/>
    </w:p>
    <w:p>
      <w:pPr>
        <w:pStyle w:val="Normal"/>
        <w:rPr>
          <w:sz w:val="26"/>
        </w:rPr>
      </w:pPr>
      <w:r>
        <w:rPr>
          <w:sz w:val="26"/>
        </w:rPr>
      </w:r>
    </w:p>
    <w:tbl>
      <w:tblPr>
        <w:tblW w:w="68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58"/>
      </w:tblGrid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Gas Accord II Kick-Off Meeting</w:t>
            </w:r>
            <w:r>
              <w:rPr>
                <w:sz w:val="26"/>
              </w:rPr>
              <w:br/>
              <w:t>September 14, Thursday</w:t>
              <w:br/>
              <w:t>9:30 a.m. – 3:30 p.m.</w:t>
              <w:br/>
              <w:t>Conference Room A</w:t>
              <w:br/>
              <w:t>245 Market Street, San Francisco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September 27, Wednesday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6"/>
              </w:rPr>
              <w:t>Core Procurement Advisory Group</w:t>
            </w:r>
            <w:r>
              <w:rPr>
                <w:sz w:val="26"/>
              </w:rPr>
              <w:br/>
              <w:t>September 28, Thursday</w:t>
              <w:br/>
              <w:t>8:30 a.m. – 4:00 p.m.</w:t>
              <w:br/>
              <w:t>Conference Room 308</w:t>
              <w:br/>
              <w:t>77 Beale Street, San Francisco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October 10-11, Tuesday-Wednesday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October 25-26,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November 15-16,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December 13-14, 2000,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January 10-11, 2001,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January 24-25,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February 7-8,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February 21-22,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March 14-15,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March 28-29,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April 11-12,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April 25-26, Wednesday-Thursday</w:t>
            </w:r>
          </w:p>
        </w:tc>
      </w:tr>
      <w:tr>
        <w:trPr/>
        <w:tc>
          <w:tcPr>
            <w:tcW w:w="6858" w:type="dxa"/>
            <w:tcBorders/>
          </w:tcPr>
          <w:p>
            <w:pPr>
              <w:pStyle w:val="Normal"/>
              <w:spacing w:before="120" w:after="120"/>
              <w:rPr>
                <w:sz w:val="26"/>
              </w:rPr>
            </w:pPr>
            <w:r>
              <w:rPr>
                <w:sz w:val="26"/>
              </w:rPr>
              <w:t>May 9-10, Wednesday-Thursday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2448" w:right="2448" w:gutter="0" w:header="720" w:top="1152" w:footer="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BernhardMod BT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sz w:val="20"/>
      </w:rPr>
    </w:pPr>
    <w:r>
      <w:rPr>
        <w:sz w:val="20"/>
      </w:rPr>
      <w:t>Privileged and Confidential Work Product for Settlement Purposes</w:t>
    </w:r>
  </w:p>
  <w:p>
    <w:pPr>
      <w:pStyle w:val="Header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Privileged and Confidential Work Product for Settlement Purposes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0"/>
      <w:ind w:hanging="360" w:start="360" w:end="0"/>
      <w:outlineLvl w:val="0"/>
    </w:pPr>
    <w:rPr>
      <w:rFonts w:ascii="Times New Roman Bold" w:hAnsi="Times New Roman Bold" w:cs="Times New Roman Bold"/>
      <w:b/>
      <w:kern w:val="2"/>
      <w:sz w:val="26"/>
    </w:rPr>
  </w:style>
  <w:style w:type="paragraph" w:styleId="Heading2">
    <w:name w:val="heading 2"/>
    <w:basedOn w:val="Normal"/>
    <w:next w:val="Bullet3"/>
    <w:qFormat/>
    <w:pPr>
      <w:keepNext w:val="true"/>
      <w:numPr>
        <w:ilvl w:val="1"/>
        <w:numId w:val="1"/>
      </w:numPr>
      <w:spacing w:before="240" w:after="0"/>
      <w:ind w:hanging="576" w:start="936" w:end="0"/>
      <w:outlineLvl w:val="1"/>
    </w:pPr>
    <w:rPr>
      <w:rFonts w:ascii="Times New Roman Bold" w:hAnsi="Times New Roman Bold" w:cs="Times New Roman Bold"/>
      <w:b/>
      <w:sz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60"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60" w:after="6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outlineLvl w:val="8"/>
    </w:pPr>
    <w:rPr>
      <w:rFonts w:ascii="BernhardMod BT" w:hAnsi="BernhardMod BT" w:cs="BernhardMod BT"/>
      <w:b/>
      <w:i/>
      <w:sz w:val="3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  <w:spacing w:val="0"/>
      <w:kern w:val="0"/>
      <w:position w:val="0"/>
      <w:sz w:val="24"/>
      <w:sz w:val="24"/>
      <w:vertAlign w:val="baselin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1">
    <w:name w:val="Bullet 1"/>
    <w:basedOn w:val="Normal"/>
    <w:qFormat/>
    <w:pPr>
      <w:ind w:hanging="432" w:start="432" w:end="0"/>
    </w:pPr>
    <w:rPr/>
  </w:style>
  <w:style w:type="paragraph" w:styleId="Bullet2">
    <w:name w:val="Bullet 2"/>
    <w:basedOn w:val="Normal"/>
    <w:qFormat/>
    <w:pPr>
      <w:ind w:hanging="432" w:start="864" w:end="0"/>
    </w:pPr>
    <w:rPr/>
  </w:style>
  <w:style w:type="paragraph" w:styleId="Bullet3">
    <w:name w:val="Bullet 3"/>
    <w:basedOn w:val="Normal"/>
    <w:qFormat/>
    <w:pPr>
      <w:spacing w:before="60" w:after="0"/>
      <w:ind w:hanging="720" w:start="1440" w:end="0"/>
    </w:pPr>
    <w:rPr/>
  </w:style>
  <w:style w:type="paragraph" w:styleId="Indent1">
    <w:name w:val="Indent 1"/>
    <w:basedOn w:val="Normal"/>
    <w:qFormat/>
    <w:pPr>
      <w:spacing w:before="60" w:after="0"/>
      <w:ind w:hanging="0" w:start="432" w:end="0"/>
    </w:pPr>
    <w:rPr/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864" w:start="2304" w:end="0"/>
    </w:pPr>
    <w:rPr/>
  </w:style>
  <w:style w:type="paragraph" w:styleId="Bullet4">
    <w:name w:val="Bullet 4"/>
    <w:basedOn w:val="Normal"/>
    <w:qFormat/>
    <w:pPr>
      <w:spacing w:before="60" w:after="0"/>
      <w:ind w:hanging="936" w:start="2016" w:end="0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MyBodyText1">
    <w:name w:val="My Body Text 1"/>
    <w:basedOn w:val="Normal"/>
    <w:qFormat/>
    <w:pPr>
      <w:spacing w:before="240" w:after="0"/>
      <w:ind w:hanging="0" w:start="432" w:end="0"/>
    </w:pPr>
    <w:rPr/>
  </w:style>
  <w:style w:type="paragraph" w:styleId="MyBodyText2">
    <w:name w:val="My Body Text 2"/>
    <w:basedOn w:val="Normal"/>
    <w:qFormat/>
    <w:pPr>
      <w:spacing w:before="240" w:after="0"/>
      <w:ind w:hanging="0" w:start="864" w:end="0"/>
    </w:pPr>
    <w:rPr/>
  </w:style>
  <w:style w:type="paragraph" w:styleId="MyHeading1">
    <w:name w:val="My Heading 1"/>
    <w:basedOn w:val="Normal"/>
    <w:next w:val="MyBodyText1"/>
    <w:qFormat/>
    <w:pPr>
      <w:keepNext w:val="true"/>
      <w:ind w:hanging="432" w:start="432" w:end="0"/>
    </w:pPr>
    <w:rPr>
      <w:rFonts w:ascii="Times New Roman Bold" w:hAnsi="Times New Roman Bold" w:cs="Times New Roman Bold"/>
      <w:b/>
    </w:rPr>
  </w:style>
  <w:style w:type="paragraph" w:styleId="MyHeading2">
    <w:name w:val="My Heading 2"/>
    <w:basedOn w:val="Normal"/>
    <w:next w:val="MyBodyText2"/>
    <w:qFormat/>
    <w:pPr>
      <w:spacing w:before="120" w:after="0"/>
      <w:ind w:hanging="432" w:start="864" w:end="0"/>
    </w:pPr>
    <w:rPr/>
  </w:style>
  <w:style w:type="paragraph" w:styleId="Bullet5">
    <w:name w:val="Bullet 5"/>
    <w:basedOn w:val="Normal"/>
    <w:qFormat/>
    <w:pPr>
      <w:ind w:hanging="1152" w:start="2592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ind w:hanging="432" w:start="864" w:end="0"/>
    </w:pPr>
    <w:rPr/>
  </w:style>
  <w:style w:type="paragraph" w:styleId="ListNumber">
    <w:name w:val="List Number"/>
    <w:basedOn w:val="Normal"/>
    <w:qFormat/>
    <w:pPr>
      <w:numPr>
        <w:ilvl w:val="0"/>
        <w:numId w:val="4"/>
      </w:numPr>
      <w:ind w:hanging="432" w:start="432" w:end="0"/>
    </w:pPr>
    <w:rPr/>
  </w:style>
  <w:style w:type="paragraph" w:styleId="ListBullet3">
    <w:name w:val="List Bullet 3"/>
    <w:basedOn w:val="Normal"/>
    <w:qFormat/>
    <w:pPr>
      <w:numPr>
        <w:ilvl w:val="0"/>
        <w:numId w:val="5"/>
      </w:numPr>
      <w:ind w:hanging="432" w:start="1296" w:end="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ind w:hanging="432" w:start="1728" w:end="0"/>
    </w:pPr>
    <w:rPr/>
  </w:style>
  <w:style w:type="paragraph" w:styleId="ListBullet5">
    <w:name w:val="List Bullet 5"/>
    <w:basedOn w:val="Normal"/>
    <w:qFormat/>
    <w:pPr>
      <w:numPr>
        <w:ilvl w:val="0"/>
        <w:numId w:val="7"/>
      </w:numPr>
      <w:ind w:hanging="432" w:start="2160" w:end="0"/>
    </w:pPr>
    <w:rPr>
      <w:sz w:val="22"/>
    </w:rPr>
  </w:style>
  <w:style w:type="paragraph" w:styleId="ListContinue">
    <w:name w:val="List Continue"/>
    <w:basedOn w:val="Normal"/>
    <w:qFormat/>
    <w:pPr>
      <w:spacing w:before="120" w:after="0"/>
      <w:ind w:hanging="0" w:start="432" w:end="0"/>
    </w:pPr>
    <w:rPr/>
  </w:style>
  <w:style w:type="paragraph" w:styleId="ListContinue2">
    <w:name w:val="List Continue 2"/>
    <w:basedOn w:val="Normal"/>
    <w:qFormat/>
    <w:pPr>
      <w:spacing w:before="120" w:after="0"/>
      <w:ind w:hanging="0" w:start="864" w:end="0"/>
    </w:pPr>
    <w:rPr/>
  </w:style>
  <w:style w:type="paragraph" w:styleId="ListContinue3">
    <w:name w:val="List Continue 3"/>
    <w:basedOn w:val="Normal"/>
    <w:qFormat/>
    <w:pPr>
      <w:spacing w:before="120" w:after="0"/>
      <w:ind w:hanging="0" w:start="1296" w:end="0"/>
    </w:pPr>
    <w:rPr/>
  </w:style>
  <w:style w:type="paragraph" w:styleId="ListContinue4">
    <w:name w:val="List Continue 4"/>
    <w:basedOn w:val="Normal"/>
    <w:qFormat/>
    <w:pPr>
      <w:spacing w:before="120" w:after="0"/>
      <w:ind w:hanging="0" w:start="1728" w:end="0"/>
    </w:pPr>
    <w:rPr/>
  </w:style>
  <w:style w:type="paragraph" w:styleId="ListContinue5">
    <w:name w:val="List Continue 5"/>
    <w:basedOn w:val="Normal"/>
    <w:qFormat/>
    <w:pPr>
      <w:spacing w:before="60" w:after="0"/>
      <w:ind w:hanging="0" w:start="2160" w:end="0"/>
    </w:pPr>
    <w:rPr>
      <w:sz w:val="22"/>
    </w:rPr>
  </w:style>
  <w:style w:type="paragraph" w:styleId="ListNumber2">
    <w:name w:val="List Number 2"/>
    <w:basedOn w:val="Normal"/>
    <w:qFormat/>
    <w:pPr>
      <w:numPr>
        <w:ilvl w:val="0"/>
        <w:numId w:val="8"/>
      </w:numPr>
      <w:ind w:hanging="432" w:start="864" w:end="0"/>
    </w:pPr>
    <w:rPr/>
  </w:style>
  <w:style w:type="paragraph" w:styleId="ListNumber3">
    <w:name w:val="List Number 3"/>
    <w:basedOn w:val="Normal"/>
    <w:qFormat/>
    <w:pPr>
      <w:numPr>
        <w:ilvl w:val="0"/>
        <w:numId w:val="9"/>
      </w:numPr>
      <w:ind w:hanging="432" w:start="1296" w:end="0"/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  <w:ind w:hanging="432" w:start="1728" w:end="0"/>
    </w:pPr>
    <w:rPr/>
  </w:style>
  <w:style w:type="paragraph" w:styleId="ListNumber5">
    <w:name w:val="List Number 5"/>
    <w:basedOn w:val="Normal"/>
    <w:qFormat/>
    <w:pPr>
      <w:numPr>
        <w:ilvl w:val="0"/>
        <w:numId w:val="11"/>
      </w:numPr>
      <w:ind w:hanging="432" w:start="2160" w:end="0"/>
    </w:pPr>
    <w:rPr>
      <w:sz w:val="22"/>
    </w:rPr>
  </w:style>
  <w:style w:type="paragraph" w:styleId="Indent4">
    <w:name w:val="Indent 4"/>
    <w:basedOn w:val="Normal"/>
    <w:qFormat/>
    <w:pPr>
      <w:ind w:hanging="0" w:start="1728" w:end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Indent5">
    <w:name w:val="Indent 5"/>
    <w:basedOn w:val="Normal"/>
    <w:qFormat/>
    <w:pPr>
      <w:ind w:hanging="0" w:start="252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2000-09-07T19:45:00Z</dcterms:created>
  <dc:creator>Geoffrey J Bellenger</dc:creator>
  <dc:description/>
  <dc:language>en-CA</dc:language>
  <cp:lastModifiedBy>Geoffrey Bellenger</cp:lastModifiedBy>
  <cp:lastPrinted>2000-09-07T08:15:00Z</cp:lastPrinted>
  <dcterms:modified xsi:type="dcterms:W3CDTF">2000-09-08T17:45:00Z</dcterms:modified>
  <cp:revision>9</cp:revision>
  <dc:subject/>
  <dc:title>Strategic Planning Team</dc:title>
</cp:coreProperties>
</file>