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sz w:val="18"/>
        </w:rPr>
        <w:fldChar w:fldCharType="begin"/>
      </w:r>
      <w:r>
        <w:rPr>
          <w:sz w:val="18"/>
          <w:rFonts w:cs="Arial" w:ascii="Arial" w:hAnsi="Arial"/>
        </w:rPr>
        <w:instrText xml:space="preserve"> MERGEFIELD Title </w:instrText>
      </w:r>
      <w:r>
        <w:rPr>
          <w:sz w:val="18"/>
          <w:rFonts w:cs="Arial" w:ascii="Arial" w:hAnsi="Arial"/>
        </w:rPr>
        <w:fldChar w:fldCharType="separate"/>
      </w:r>
      <w:r>
        <w:rPr>
          <w:sz w:val="18"/>
          <w:rFonts w:cs="Arial" w:ascii="Arial" w:hAnsi="Arial"/>
        </w:rPr>
        <w:t>«Title»</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Firstname </w:instrText>
      </w:r>
      <w:r>
        <w:rPr>
          <w:sz w:val="18"/>
          <w:rFonts w:cs="Arial" w:ascii="Arial" w:hAnsi="Arial"/>
        </w:rPr>
        <w:fldChar w:fldCharType="separate"/>
      </w:r>
      <w:r>
        <w:rPr>
          <w:sz w:val="18"/>
          <w:rFonts w:cs="Arial" w:ascii="Arial" w:hAnsi="Arial"/>
        </w:rPr>
        <w:t>«Contact Name»</w:t>
      </w:r>
      <w:r>
        <w:rPr>
          <w:sz w:val="18"/>
          <w:rFonts w:cs="Arial" w:ascii="Arial" w:hAnsi="Arial"/>
        </w:rPr>
        <w:fldChar w:fldCharType="end"/>
      </w:r>
      <w:r>
        <w:rPr>
          <w:rFonts w:eastAsia="Arial" w:cs="Arial" w:ascii="Arial" w:hAnsi="Arial"/>
          <w:sz w:val="18"/>
        </w:rPr>
        <w:t xml:space="preserve"> </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legal_entity_name </w:instrText>
      </w:r>
      <w:r>
        <w:rPr>
          <w:sz w:val="18"/>
          <w:rFonts w:cs="Arial" w:ascii="Arial" w:hAnsi="Arial"/>
        </w:rPr>
        <w:fldChar w:fldCharType="separate"/>
      </w:r>
      <w:r>
        <w:rPr>
          <w:sz w:val="18"/>
          <w:rFonts w:cs="Arial" w:ascii="Arial" w:hAnsi="Arial"/>
        </w:rPr>
        <w:t>«legal_entity_name»</w:t>
      </w:r>
      <w:r>
        <w:rPr>
          <w:sz w:val="18"/>
          <w:rFonts w:cs="Arial" w:ascii="Arial" w:hAnsi="Arial"/>
        </w:rPr>
        <w:fldChar w:fldCharType="end"/>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Address_1 </w:instrText>
      </w:r>
      <w:r>
        <w:rPr>
          <w:sz w:val="18"/>
          <w:rFonts w:cs="Arial" w:ascii="Arial" w:hAnsi="Arial"/>
        </w:rPr>
        <w:fldChar w:fldCharType="separate"/>
      </w:r>
      <w:r>
        <w:rPr>
          <w:sz w:val="18"/>
          <w:rFonts w:cs="Arial" w:ascii="Arial" w:hAnsi="Arial"/>
        </w:rPr>
        <w:t>«Address_1»</w:t>
      </w:r>
      <w:r>
        <w:rPr>
          <w:sz w:val="18"/>
          <w:rFonts w:cs="Arial" w:ascii="Arial" w:hAnsi="Arial"/>
        </w:rPr>
        <w:fldChar w:fldCharType="end"/>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Address_2 </w:instrText>
      </w:r>
      <w:r>
        <w:rPr>
          <w:sz w:val="18"/>
          <w:rFonts w:cs="Arial" w:ascii="Arial" w:hAnsi="Arial"/>
        </w:rPr>
        <w:fldChar w:fldCharType="separate"/>
      </w:r>
      <w:r>
        <w:rPr>
          <w:sz w:val="18"/>
          <w:rFonts w:cs="Arial" w:ascii="Arial" w:hAnsi="Arial"/>
        </w:rPr>
        <w:t>«Address_2»</w:t>
      </w:r>
      <w:r>
        <w:rPr>
          <w:sz w:val="18"/>
          <w:rFonts w:cs="Arial" w:ascii="Arial" w:hAnsi="Arial"/>
        </w:rPr>
        <w:fldChar w:fldCharType="end"/>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Address_3 </w:instrText>
      </w:r>
      <w:r>
        <w:rPr>
          <w:sz w:val="18"/>
          <w:rFonts w:cs="Arial" w:ascii="Arial" w:hAnsi="Arial"/>
        </w:rPr>
        <w:fldChar w:fldCharType="separate"/>
      </w:r>
      <w:r>
        <w:rPr>
          <w:sz w:val="18"/>
          <w:rFonts w:cs="Arial" w:ascii="Arial" w:hAnsi="Arial"/>
        </w:rPr>
        <w:t>«Address_3»</w:t>
      </w:r>
      <w:r>
        <w:rPr>
          <w:sz w:val="18"/>
          <w:rFonts w:cs="Arial" w:ascii="Arial" w:hAnsi="Arial"/>
        </w:rPr>
        <w:fldChar w:fldCharType="end"/>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Country </w:instrText>
      </w:r>
      <w:r>
        <w:rPr>
          <w:sz w:val="18"/>
          <w:rFonts w:cs="Arial" w:ascii="Arial" w:hAnsi="Arial"/>
        </w:rPr>
        <w:fldChar w:fldCharType="separate"/>
      </w:r>
      <w:r>
        <w:rPr>
          <w:sz w:val="18"/>
          <w:rFonts w:cs="Arial" w:ascii="Arial" w:hAnsi="Arial"/>
        </w:rPr>
        <w:t>«Country»</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July 2000</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Dear </w:t>
      </w:r>
      <w:r>
        <w:rPr>
          <w:rFonts w:cs="Arial" w:ascii="Arial" w:hAnsi="Arial"/>
          <w:sz w:val="18"/>
        </w:rPr>
        <w:fldChar w:fldCharType="begin"/>
      </w:r>
      <w:r>
        <w:rPr>
          <w:sz w:val="18"/>
          <w:rFonts w:cs="Arial" w:ascii="Arial" w:hAnsi="Arial"/>
        </w:rPr>
        <w:instrText xml:space="preserve"> MERGEFIELD Title </w:instrText>
      </w:r>
      <w:r>
        <w:rPr>
          <w:sz w:val="18"/>
          <w:rFonts w:cs="Arial" w:ascii="Arial" w:hAnsi="Arial"/>
        </w:rPr>
        <w:fldChar w:fldCharType="separate"/>
      </w:r>
      <w:r>
        <w:rPr>
          <w:sz w:val="18"/>
          <w:rFonts w:cs="Arial" w:ascii="Arial" w:hAnsi="Arial"/>
        </w:rPr>
        <w:t>«Title»</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Lastname </w:instrText>
      </w:r>
      <w:r>
        <w:rPr>
          <w:sz w:val="18"/>
          <w:rFonts w:cs="Arial" w:ascii="Arial" w:hAnsi="Arial"/>
        </w:rPr>
        <w:fldChar w:fldCharType="separate"/>
      </w:r>
      <w:r>
        <w:rPr>
          <w:sz w:val="18"/>
          <w:rFonts w:cs="Arial" w:ascii="Arial" w:hAnsi="Arial"/>
        </w:rPr>
        <w:t>«Lastname»</w:t>
      </w:r>
      <w:r>
        <w:rPr>
          <w:sz w:val="18"/>
          <w:rFonts w:cs="Arial" w:ascii="Arial" w:hAnsi="Arial"/>
        </w:rPr>
        <w:fldChar w:fldCharType="end"/>
      </w:r>
      <w:r>
        <w:rPr>
          <w:rFonts w:cs="Arial" w:ascii="Arial" w:hAnsi="Arial"/>
          <w:sz w:val="18"/>
        </w:rPr>
        <w:t>,</w:t>
      </w:r>
    </w:p>
    <w:p>
      <w:pPr>
        <w:pStyle w:val="Normal"/>
        <w:jc w:val="both"/>
        <w:rPr>
          <w:rFonts w:ascii="Arial" w:hAnsi="Arial" w:cs="Arial"/>
          <w:sz w:val="18"/>
        </w:rPr>
      </w:pPr>
      <w:r>
        <w:rPr>
          <w:rFonts w:cs="Arial" w:ascii="Arial" w:hAnsi="Arial"/>
          <w:sz w:val="18"/>
        </w:rPr>
      </w:r>
    </w:p>
    <w:p>
      <w:pPr>
        <w:pStyle w:val="Normal"/>
        <w:spacing w:lineRule="atLeast" w:line="240"/>
        <w:jc w:val="both"/>
        <w:rPr/>
      </w:pPr>
      <w:r>
        <w:rPr>
          <w:rFonts w:cs="Arial" w:ascii="Arial" w:hAnsi="Arial"/>
          <w:sz w:val="18"/>
        </w:rPr>
        <w:t xml:space="preserve">We are pleased to announce </w:t>
      </w:r>
      <w:r>
        <w:rPr>
          <w:rFonts w:cs="Helv;Arial" w:ascii="Helv;Arial" w:hAnsi="Helv;Arial"/>
          <w:sz w:val="18"/>
          <w:lang w:val="en-AU" w:eastAsia="en-US"/>
        </w:rPr>
        <w:t xml:space="preserve">the launch of International Sea Freight as the newest commodity available on EnronOnline. EnronOnline is </w:t>
      </w:r>
      <w:r>
        <w:rPr>
          <w:rFonts w:cs="Arial" w:ascii="Arial" w:hAnsi="Arial"/>
          <w:sz w:val="18"/>
        </w:rPr>
        <w:t>a Web-based transaction system that is completely free of charge and enables you to buy and sell commodities throughout the world with Enron</w:t>
      </w:r>
      <w:r>
        <w:rPr>
          <w:rFonts w:cs="Helv;Arial" w:ascii="Helv;Arial" w:hAnsi="Helv;Arial"/>
          <w:sz w:val="18"/>
          <w:lang w:val="en-AU" w:eastAsia="en-US"/>
        </w:rPr>
        <w:t xml:space="preserve"> as principal.</w:t>
      </w:r>
    </w:p>
    <w:p>
      <w:pPr>
        <w:pStyle w:val="Normal"/>
        <w:spacing w:lineRule="atLeast" w:line="240"/>
        <w:jc w:val="both"/>
        <w:rPr>
          <w:rFonts w:ascii="Helv;Arial" w:hAnsi="Helv;Arial" w:cs="Helv;Arial"/>
          <w:sz w:val="18"/>
          <w:lang w:val="en-AU" w:eastAsia="en-US"/>
        </w:rPr>
      </w:pPr>
      <w:r>
        <w:rPr>
          <w:rFonts w:cs="Helv;Arial" w:ascii="Helv;Arial" w:hAnsi="Helv;Arial"/>
          <w:sz w:val="18"/>
          <w:lang w:val="en-AU" w:eastAsia="en-US"/>
        </w:rPr>
      </w:r>
    </w:p>
    <w:p>
      <w:pPr>
        <w:pStyle w:val="Normal"/>
        <w:spacing w:lineRule="atLeast" w:line="240"/>
        <w:jc w:val="both"/>
        <w:rPr>
          <w:rFonts w:ascii="Helv;Arial" w:hAnsi="Helv;Arial" w:cs="Helv;Arial"/>
          <w:sz w:val="18"/>
          <w:lang w:val="en-AU" w:eastAsia="en-US"/>
        </w:rPr>
      </w:pPr>
      <w:r>
        <w:rPr>
          <w:rFonts w:cs="Helv;Arial" w:ascii="Helv;Arial" w:hAnsi="Helv;Arial"/>
          <w:sz w:val="18"/>
          <w:lang w:val="en-AU" w:eastAsia="en-US"/>
        </w:rPr>
        <w:t>These newly launched International Sea Freight products allow counterparties to buy and sell contracts for certain trade routes.  The first two routes to be traded will be Capesize routes as per the Baltic Capesize Index routes numbers 4 and 7 (see attached route definitions). Additional routes will follow shortly covering Capesize vessel time charter (with lots of 10 days) and other market segments like Panamax and Handymax vessels.</w:t>
      </w:r>
    </w:p>
    <w:p>
      <w:pPr>
        <w:pStyle w:val="Normal"/>
        <w:spacing w:lineRule="atLeast" w:line="240"/>
        <w:jc w:val="both"/>
        <w:rPr>
          <w:rFonts w:ascii="Helv;Arial" w:hAnsi="Helv;Arial" w:cs="Helv;Arial"/>
          <w:sz w:val="18"/>
          <w:lang w:val="en-AU" w:eastAsia="en-US"/>
        </w:rPr>
      </w:pPr>
      <w:r>
        <w:rPr>
          <w:rFonts w:cs="Helv;Arial" w:ascii="Helv;Arial" w:hAnsi="Helv;Arial"/>
          <w:sz w:val="18"/>
          <w:lang w:val="en-AU" w:eastAsia="en-US"/>
        </w:rPr>
      </w:r>
    </w:p>
    <w:p>
      <w:pPr>
        <w:pStyle w:val="Normal"/>
        <w:spacing w:lineRule="atLeast" w:line="240"/>
        <w:jc w:val="both"/>
        <w:rPr>
          <w:rFonts w:ascii="Helv;Arial" w:hAnsi="Helv;Arial" w:cs="Helv;Arial"/>
          <w:sz w:val="18"/>
          <w:lang w:val="en-AU" w:eastAsia="en-US"/>
        </w:rPr>
      </w:pPr>
      <w:r>
        <w:rPr>
          <w:rFonts w:cs="Helv;Arial" w:ascii="Helv;Arial" w:hAnsi="Helv;Arial"/>
          <w:sz w:val="18"/>
          <w:lang w:val="en-AU" w:eastAsia="en-US"/>
        </w:rPr>
        <w:t>Enron will be using the Standard International Freight Agreement (SIFA) as a contractual basis offering the freight in lots of 5000 mt.  This will enable less traditional and smaller players to enter the freight trading market, with reduced transaction costs. It allows numerous counterparties like ship owners, operators and charterers to better manage short-term physical needs and provides better price transparency in a changing marketplace using standard contract terms. It also enables new players like banks, commodity based investment funds, FOB sellers or CIF buyers to hedge part of their exposure to shipping.</w:t>
      </w:r>
    </w:p>
    <w:p>
      <w:pPr>
        <w:pStyle w:val="Normal"/>
        <w:jc w:val="both"/>
        <w:rPr>
          <w:rFonts w:ascii="Arial" w:hAnsi="Arial" w:cs="Arial"/>
          <w:sz w:val="18"/>
          <w:lang w:val="en-AU" w:eastAsia="en-US"/>
        </w:rPr>
      </w:pPr>
      <w:r>
        <w:rPr>
          <w:rFonts w:cs="Arial" w:ascii="Arial" w:hAnsi="Arial"/>
          <w:sz w:val="18"/>
          <w:lang w:val="en-AU" w:eastAsia="en-US"/>
        </w:rPr>
      </w:r>
    </w:p>
    <w:p>
      <w:pPr>
        <w:pStyle w:val="BodyText2"/>
        <w:rPr/>
      </w:pPr>
      <w:r>
        <w:rPr>
          <w:sz w:val="18"/>
        </w:rPr>
        <w:t xml:space="preserve">In order to apply for access to EnronOnline you simply need to complete and return the Registration form and Password Application form for your trading location.  For more information about registering please go to the “How To Register” link on our website, located at </w:t>
      </w:r>
      <w:hyperlink r:id="rId2">
        <w:r>
          <w:rPr>
            <w:rStyle w:val="Hyperlink"/>
            <w:sz w:val="18"/>
          </w:rPr>
          <w:t>www.EnronOnline.com</w:t>
        </w:r>
      </w:hyperlink>
      <w:r>
        <w:rPr>
          <w:sz w:val="18"/>
        </w:rPr>
        <w:t>.  The enclosed marketing information will provide general guidelines on how to use the site.</w:t>
      </w:r>
    </w:p>
    <w:p>
      <w:pPr>
        <w:pStyle w:val="BodyText2"/>
        <w:rPr>
          <w:sz w:val="18"/>
        </w:rPr>
      </w:pPr>
      <w:r>
        <w:rPr>
          <w:sz w:val="18"/>
        </w:rPr>
      </w:r>
    </w:p>
    <w:p>
      <w:pPr>
        <w:pStyle w:val="BodyText2"/>
        <w:rPr>
          <w:sz w:val="18"/>
        </w:rPr>
      </w:pPr>
      <w:r>
        <w:rPr>
          <w:sz w:val="18"/>
        </w:rPr>
        <w:t>Should you have any further questions regarding the trading of International Sea Freight products or should you believe a person within or outside your organization would be interested in trading sea freight commodity products please call Pierre Aury, Director of International Sea Freight on +44 20 7783 4427.  For questions regarding EnronOnline call the EnronOnline Help Desk on +44 20 7783 7783.</w:t>
      </w:r>
    </w:p>
    <w:p>
      <w:pPr>
        <w:pStyle w:val="BodyText2"/>
        <w:rPr>
          <w:sz w:val="18"/>
        </w:rPr>
      </w:pPr>
      <w:r>
        <w:rPr>
          <w:sz w:val="18"/>
        </w:rPr>
      </w:r>
    </w:p>
    <w:p>
      <w:pPr>
        <w:pStyle w:val="BodyText2"/>
        <w:rPr>
          <w:sz w:val="18"/>
        </w:rPr>
      </w:pPr>
      <w:r>
        <w:rPr>
          <w:sz w:val="18"/>
        </w:rPr>
        <w:t xml:space="preserve">We hope you will find that EnronOnline provides an easy and more efficient way to do business with Enron and we look forward to transacting with you online.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Sincerely,</w:t>
      </w:r>
    </w:p>
    <w:p>
      <w:pPr>
        <w:pStyle w:val="Normal"/>
        <w:jc w:val="both"/>
        <w:rPr>
          <w:rFonts w:ascii="Arial" w:hAnsi="Arial" w:cs="Arial"/>
          <w:sz w:val="18"/>
        </w:rPr>
      </w:pPr>
      <w:r>
        <w:rPr>
          <w:sz w:val="18"/>
        </w:rPr>
        <w:t xml:space="preserve"> </w:t>
      </w:r>
      <w:r>
        <w:rPr>
          <w:sz w:val="18"/>
        </w:rPr>
        <w:drawing>
          <wp:inline distT="0" distB="0" distL="0" distR="0">
            <wp:extent cx="1904365" cy="592455"/>
            <wp:effectExtent l="0" t="0" r="0" b="0"/>
            <wp:docPr id="1" name="si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 descr="" title=""/>
                    <pic:cNvPicPr>
                      <a:picLocks noChangeAspect="1" noChangeArrowheads="1"/>
                    </pic:cNvPicPr>
                  </pic:nvPicPr>
                  <pic:blipFill>
                    <a:blip r:embed="rId3"/>
                    <a:srcRect l="-9" t="-19" r="-9" b="-19"/>
                    <a:stretch>
                      <a:fillRect/>
                    </a:stretch>
                  </pic:blipFill>
                  <pic:spPr bwMode="auto">
                    <a:xfrm>
                      <a:off x="0" y="0"/>
                      <a:ext cx="1904365" cy="592455"/>
                    </a:xfrm>
                    <a:prstGeom prst="rect">
                      <a:avLst/>
                    </a:prstGeom>
                    <a:noFill/>
                  </pic:spPr>
                </pic:pic>
              </a:graphicData>
            </a:graphic>
          </wp:inline>
        </w:drawing>
      </w:r>
    </w:p>
    <w:p>
      <w:pPr>
        <w:pStyle w:val="Normal"/>
        <w:jc w:val="both"/>
        <w:rPr>
          <w:rFonts w:ascii="Arial" w:hAnsi="Arial" w:cs="Arial"/>
          <w:sz w:val="18"/>
        </w:rPr>
      </w:pPr>
      <w:r>
        <w:rPr>
          <w:rFonts w:cs="Arial" w:ascii="Arial" w:hAnsi="Arial"/>
          <w:sz w:val="18"/>
        </w:rPr>
        <w:t>Nick Mooney</w:t>
      </w:r>
    </w:p>
    <w:p>
      <w:pPr>
        <w:pStyle w:val="Normal"/>
        <w:jc w:val="both"/>
        <w:rPr>
          <w:rFonts w:ascii="Arial" w:hAnsi="Arial" w:cs="Arial"/>
          <w:sz w:val="18"/>
        </w:rPr>
      </w:pPr>
      <w:r>
        <w:rPr>
          <w:rFonts w:cs="Arial" w:ascii="Arial" w:hAnsi="Arial"/>
          <w:sz w:val="18"/>
        </w:rPr>
        <w:t>Director, European Marketing</w:t>
      </w:r>
    </w:p>
    <w:p>
      <w:pPr>
        <w:pStyle w:val="Normal"/>
        <w:jc w:val="both"/>
        <w:rPr>
          <w:rFonts w:ascii="Arial" w:hAnsi="Arial" w:cs="Arial"/>
          <w:sz w:val="18"/>
        </w:rPr>
      </w:pPr>
      <w:r>
        <w:rPr>
          <w:rFonts w:cs="Arial" w:ascii="Arial" w:hAnsi="Arial"/>
          <w:sz w:val="18"/>
        </w:rPr>
        <w:t>EnronOnline</w:t>
      </w:r>
    </w:p>
    <w:p>
      <w:pPr>
        <w:pStyle w:val="Normal"/>
        <w:spacing w:lineRule="atLeast" w:line="240"/>
        <w:rPr>
          <w:rFonts w:ascii="Arial" w:hAnsi="Arial" w:cs="Arial"/>
          <w:i/>
          <w:i/>
          <w:color w:val="000000"/>
          <w:sz w:val="16"/>
          <w:lang w:eastAsia="en-US"/>
        </w:rPr>
      </w:pPr>
      <w:r>
        <w:rPr>
          <w:rFonts w:cs="Arial" w:ascii="Arial" w:hAnsi="Arial"/>
          <w:i/>
          <w:color w:val="000000"/>
          <w:sz w:val="16"/>
          <w:lang w:eastAsia="en-US"/>
        </w:rPr>
      </w:r>
    </w:p>
    <w:p>
      <w:pPr>
        <w:pStyle w:val="BodyText3"/>
        <w:rPr/>
      </w:pPr>
      <w:r>
        <w:rPr/>
        <w:t>This advertisement has been issued and approved by Enron Europe Finance and Trading Limited which is regulated by the Securities and Futures Authority (SFA) in the conduct of investment business. The services/products/contracts referred to on this website are intended only for commercial enterprises and not for private customers as defined by the rules of SFA. Enron will not enter into transactions with persons who would be regarded as private customers under the rules of SFA</w:t>
      </w:r>
      <w:r>
        <w:br w:type="page"/>
      </w:r>
    </w:p>
    <w:p>
      <w:pPr>
        <w:pStyle w:val="Normal"/>
        <w:rPr>
          <w:rFonts w:ascii="Arial" w:hAnsi="Arial" w:cs="Arial"/>
          <w:b/>
          <w:sz w:val="24"/>
        </w:rPr>
      </w:pPr>
      <w:r>
        <w:rPr>
          <w:rFonts w:cs="Arial" w:ascii="Arial" w:hAnsi="Arial"/>
          <w:b/>
          <w:sz w:val="24"/>
        </w:rPr>
        <w:t>Route Definitions</w:t>
      </w:r>
    </w:p>
    <w:p>
      <w:pPr>
        <w:pStyle w:val="Normal"/>
        <w:rPr>
          <w:rFonts w:ascii="Arial" w:hAnsi="Arial" w:cs="Arial"/>
          <w:b/>
          <w:sz w:val="24"/>
        </w:rPr>
      </w:pPr>
      <w:r>
        <w:rPr>
          <w:rFonts w:cs="Arial" w:ascii="Arial" w:hAnsi="Arial"/>
          <w:b/>
          <w:sz w:val="24"/>
        </w:rPr>
      </w:r>
    </w:p>
    <w:p>
      <w:pPr>
        <w:pStyle w:val="Normal"/>
        <w:rPr/>
      </w:pPr>
      <w:r>
        <w:rPr/>
      </w:r>
    </w:p>
    <w:p>
      <w:pPr>
        <w:pStyle w:val="Normal"/>
        <w:rPr>
          <w:rFonts w:ascii="Helv;Arial" w:hAnsi="Helv;Arial" w:cs="Helv;Arial"/>
          <w:color w:val="000000"/>
          <w:u w:val="single"/>
          <w:lang w:val="en-AU" w:eastAsia="en-US"/>
        </w:rPr>
      </w:pPr>
      <w:r>
        <w:rPr>
          <w:rFonts w:cs="Helv;Arial" w:ascii="Helv;Arial" w:hAnsi="Helv;Arial"/>
          <w:color w:val="000000"/>
          <w:u w:val="single"/>
          <w:lang w:val="en-AU" w:eastAsia="en-US"/>
        </w:rPr>
        <w:t xml:space="preserve">Route 4. </w:t>
      </w:r>
    </w:p>
    <w:p>
      <w:pPr>
        <w:pStyle w:val="Normal"/>
        <w:rPr>
          <w:rFonts w:ascii="Helv;Arial" w:hAnsi="Helv;Arial" w:cs="Helv;Arial"/>
          <w:color w:val="000000"/>
          <w:lang w:val="en-AU" w:eastAsia="en-US"/>
        </w:rPr>
      </w:pPr>
      <w:r>
        <w:rPr>
          <w:rFonts w:cs="Helv;Arial" w:ascii="Helv;Arial" w:hAnsi="Helv;Arial"/>
          <w:color w:val="000000"/>
          <w:lang w:val="en-AU" w:eastAsia="en-US"/>
        </w:rPr>
        <w:t xml:space="preserve">Richards Bay / Rotterdam 150,000 mt 10 per cent coal free in and out and trimmed, scale load/25,000 mt Sundays holidays included discharge. 18 hours turn time at loading port and 12 hours at discharge port. Laydays 25 days forward from date of index, canceling 40 days forward from date of index. Vessel's age max. 15 years. Freight based on metric tonnes. 3.75 per cent total commission. </w:t>
      </w:r>
    </w:p>
    <w:p>
      <w:pPr>
        <w:pStyle w:val="Normal"/>
        <w:rPr>
          <w:rFonts w:ascii="Helv;Arial" w:hAnsi="Helv;Arial" w:cs="Helv;Arial"/>
          <w:color w:val="000000"/>
          <w:lang w:val="en-AU" w:eastAsia="en-US"/>
        </w:rPr>
      </w:pPr>
      <w:r>
        <w:rPr>
          <w:rFonts w:cs="Helv;Arial" w:ascii="Helv;Arial" w:hAnsi="Helv;Arial"/>
          <w:color w:val="000000"/>
          <w:lang w:val="en-AU" w:eastAsia="en-US"/>
        </w:rPr>
      </w:r>
    </w:p>
    <w:p>
      <w:pPr>
        <w:pStyle w:val="Normal"/>
        <w:rPr>
          <w:rFonts w:ascii="Helv;Arial" w:hAnsi="Helv;Arial" w:cs="Helv;Arial"/>
          <w:color w:val="000000"/>
          <w:lang w:val="en-AU" w:eastAsia="en-US"/>
        </w:rPr>
      </w:pPr>
      <w:r>
        <w:rPr>
          <w:rFonts w:cs="Helv;Arial" w:ascii="Helv;Arial" w:hAnsi="Helv;Arial"/>
          <w:color w:val="000000"/>
          <w:lang w:val="en-AU" w:eastAsia="en-US"/>
        </w:rPr>
      </w:r>
    </w:p>
    <w:p>
      <w:pPr>
        <w:pStyle w:val="Normal"/>
        <w:rPr>
          <w:rFonts w:ascii="Helv;Arial" w:hAnsi="Helv;Arial" w:cs="Helv;Arial"/>
          <w:color w:val="000000"/>
          <w:u w:val="single"/>
          <w:lang w:val="en-AU" w:eastAsia="en-US"/>
        </w:rPr>
      </w:pPr>
      <w:r>
        <w:rPr>
          <w:rFonts w:cs="Helv;Arial" w:ascii="Helv;Arial" w:hAnsi="Helv;Arial"/>
          <w:color w:val="000000"/>
          <w:u w:val="single"/>
          <w:lang w:val="en-AU" w:eastAsia="en-US"/>
        </w:rPr>
        <w:t xml:space="preserve">Route 7. </w:t>
      </w:r>
    </w:p>
    <w:p>
      <w:pPr>
        <w:pStyle w:val="Normal"/>
        <w:rPr>
          <w:rFonts w:ascii="Helv;Arial" w:hAnsi="Helv;Arial" w:cs="Helv;Arial"/>
          <w:color w:val="000000"/>
          <w:lang w:val="en-AU" w:eastAsia="en-US"/>
        </w:rPr>
      </w:pPr>
      <w:r>
        <w:rPr>
          <w:rFonts w:cs="Helv;Arial" w:ascii="Helv;Arial" w:hAnsi="Helv;Arial"/>
          <w:color w:val="000000"/>
          <w:lang w:val="en-AU" w:eastAsia="en-US"/>
        </w:rPr>
        <w:t xml:space="preserve">Bolivar / Rotterdam 150,000 mt 10 pct coal free in and out trimmed, 50,000 mt Sundays holidays included loading/25,000 mt Sundays holidays included discharge, 12 hours turn time at loading port and 12 hours turn time at discharge port.  Laydays 20 days forward from date of index, canceling maximum 35 days forward from date of index. Vessel's age maximum 15 years. Freight based on metric tonnes. 3.75 pct total commission. </w:t>
      </w:r>
    </w:p>
    <w:p>
      <w:pPr>
        <w:pStyle w:val="BodyText"/>
        <w:rPr>
          <w:rFonts w:ascii="Helv;Arial" w:hAnsi="Helv;Arial" w:cs="Helv;Arial"/>
          <w:color w:val="000000"/>
          <w:lang w:val="en-AU" w:eastAsia="en-US"/>
        </w:rPr>
      </w:pPr>
      <w:r>
        <w:rPr>
          <w:rFonts w:cs="Helv;Arial" w:ascii="Helv;Arial" w:hAnsi="Helv;Arial"/>
          <w:color w:val="000000"/>
          <w:lang w:val="en-AU" w:eastAsia="en-US"/>
        </w:rPr>
      </w:r>
    </w:p>
    <w:sectPr>
      <w:type w:val="nextPage"/>
      <w:pgSz w:w="11906" w:h="16838"/>
      <w:pgMar w:left="1276" w:right="1274" w:gutter="0" w:header="0" w:top="4111"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tLeast" w:line="240"/>
      <w:ind w:hanging="0" w:start="360" w:end="0"/>
      <w:jc w:val="end"/>
      <w:outlineLvl w:val="0"/>
    </w:pPr>
    <w:rPr>
      <w:rFonts w:ascii="Helv;Arial" w:hAnsi="Helv;Arial" w:cs="Helv;Arial"/>
      <w:b/>
      <w:color w:val="0000FF"/>
      <w:lang w:val="en-AU" w:eastAsia="en-US"/>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i/>
      <w:color w:val="000000"/>
      <w:sz w:val="16"/>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lang w:val="en-US"/>
    </w:rPr>
  </w:style>
  <w:style w:type="paragraph" w:styleId="BlockText">
    <w:name w:val="Block Text"/>
    <w:basedOn w:val="Normal"/>
    <w:qFormat/>
    <w:pPr>
      <w:spacing w:lineRule="atLeast" w:line="240"/>
      <w:ind w:hanging="0" w:start="360" w:end="567"/>
    </w:pPr>
    <w:rPr>
      <w:rFonts w:ascii="Helv;Arial" w:hAnsi="Helv;Arial" w:cs="Helv;Arial"/>
      <w:lang w:val="en-AU" w:eastAsia="en-US"/>
    </w:rPr>
  </w:style>
  <w:style w:type="paragraph" w:styleId="BodyText3">
    <w:name w:val="Body Text 3"/>
    <w:basedOn w:val="Normal"/>
    <w:qFormat/>
    <w:pPr/>
    <w:rPr>
      <w:rFonts w:ascii="Arial" w:hAnsi="Arial" w:cs="Arial"/>
      <w:i/>
      <w:color w:val="000000"/>
      <w:sz w:val="12"/>
      <w:lang w:val="en-AU"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2000-07-27T11:02:00Z</dcterms:created>
  <dc:creator>AGardine</dc:creator>
  <dc:description/>
  <dc:language>en-CA</dc:language>
  <cp:lastModifiedBy>SSimunov</cp:lastModifiedBy>
  <cp:lastPrinted>2000-07-27T15:30:00Z</cp:lastPrinted>
  <dcterms:modified xsi:type="dcterms:W3CDTF">2000-07-27T12:50:00Z</dcterms:modified>
  <cp:revision>4</cp:revision>
  <dc:subject/>
  <dc:title>June 2000</dc:title>
</cp:coreProperties>
</file>