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BodyText2"/>
        <w:rPr>
          <w:u w:val="single"/>
        </w:rPr>
      </w:pPr>
      <w:r>
        <w:rPr>
          <w:u w:val="single"/>
        </w:rPr>
        <w:t>PARAGRAPHS TO BE USED BY ENA TO INCORPORATE GTC</w:t>
      </w:r>
    </w:p>
    <w:p>
      <w:pPr>
        <w:pStyle w:val="Normal"/>
        <w:rPr>
          <w:sz w:val="28"/>
          <w:u w:val="single"/>
        </w:rPr>
      </w:pPr>
      <w:r>
        <w:rPr>
          <w:sz w:val="28"/>
          <w:u w:val="single"/>
        </w:rPr>
      </w:r>
    </w:p>
    <w:p>
      <w:pPr>
        <w:pStyle w:val="Heading2"/>
        <w:ind w:hanging="0" w:start="0"/>
        <w:rPr/>
      </w:pPr>
      <w:r>
        <w:rPr/>
        <w:t>Financial</w:t>
      </w:r>
    </w:p>
    <w:p>
      <w:pPr>
        <w:pStyle w:val="Normal"/>
        <w:rPr>
          <w:sz w:val="28"/>
        </w:rPr>
      </w:pPr>
      <w:r>
        <w:rPr>
          <w:sz w:val="28"/>
        </w:rPr>
      </w:r>
    </w:p>
    <w:p>
      <w:pPr>
        <w:pStyle w:val="BodyText"/>
        <w:rPr/>
      </w:pPr>
      <w:r>
        <w:rPr/>
        <w:t>The purpose of this letter agreement (together with the General Terms and Conditions of Confirmation ("GTC") that you have accepted via EnronOnline and any attachments hereto, collectively the "Confirmation") is to confirm the terms and conditions of the transaction entered into between us on the Trade Date specified below (the "Transaction") whereby we accepted your offer to enter into the Transaction. The GTC is hereby made a part hereof and incorporated herein by reference.  The terms of the particular Transaction to which this Confirmation relates are as follows:</w:t>
      </w:r>
    </w:p>
    <w:p>
      <w:pPr>
        <w:pStyle w:val="Normal"/>
        <w:rPr>
          <w:sz w:val="28"/>
        </w:rPr>
      </w:pPr>
      <w:r>
        <w:rPr>
          <w:sz w:val="28"/>
        </w:rPr>
      </w:r>
    </w:p>
    <w:p>
      <w:pPr>
        <w:pStyle w:val="Normal"/>
        <w:rPr>
          <w:sz w:val="28"/>
        </w:rPr>
      </w:pPr>
      <w:r>
        <w:rPr>
          <w:sz w:val="28"/>
        </w:rPr>
      </w:r>
    </w:p>
    <w:p>
      <w:pPr>
        <w:pStyle w:val="Heading2"/>
        <w:ind w:hanging="0" w:start="0"/>
        <w:rPr/>
      </w:pPr>
      <w:r>
        <w:rPr/>
        <w:t xml:space="preserve">Physical (Example shown is from a Natural Gas template) </w:t>
      </w:r>
    </w:p>
    <w:p>
      <w:pPr>
        <w:pStyle w:val="Normal"/>
        <w:rPr>
          <w:sz w:val="28"/>
          <w:u w:val="single"/>
        </w:rPr>
      </w:pPr>
      <w:r>
        <w:rPr>
          <w:sz w:val="28"/>
          <w:u w:val="single"/>
        </w:rPr>
      </w:r>
    </w:p>
    <w:p>
      <w:pPr>
        <w:pStyle w:val="BodyText"/>
        <w:rPr/>
      </w:pPr>
      <w:r>
        <w:rPr/>
        <w:t>This Transaction is governed by the EnronOnline General Terms and Conditions ("GTC") that you have accepted via EnronOnline.  This Confirmation is being provided pursuant to and in accordance with the GTC and constitutes part of and is subject to all of the provisions of the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rPr>
          <w:sz w:val="28"/>
        </w:rPr>
      </w:pPr>
      <w:r>
        <w:rPr>
          <w:sz w:val="28"/>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2001-03-28T17:34:00Z</dcterms:created>
  <dc:creator>robert j. bowen</dc:creator>
  <dc:description/>
  <dc:language>en-CA</dc:language>
  <cp:lastModifiedBy>robert j. bowen</cp:lastModifiedBy>
  <dcterms:modified xsi:type="dcterms:W3CDTF">2001-04-23T16:51:00Z</dcterms:modified>
  <cp:revision>3</cp:revision>
  <dc:subject/>
  <dc:title>This Transaction is governed by the EnronOnline General Terms and Conditions ("GTC") that you have accepted via EnronOnline</dc:title>
</cp:coreProperties>
</file>