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end"/>
        <w:rPr/>
      </w:pPr>
      <w:r>
        <w:rPr/>
      </w:r>
    </w:p>
    <w:tbl>
      <w:tblPr>
        <w:tblW w:w="10708" w:type="dxa"/>
        <w:jc w:val="start"/>
        <w:tblInd w:w="2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6"/>
        <w:gridCol w:w="5310"/>
        <w:gridCol w:w="1447"/>
        <w:gridCol w:w="2965"/>
      </w:tblGrid>
      <w:tr>
        <w:trPr/>
        <w:tc>
          <w:tcPr>
            <w:tcW w:w="986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To:</w:t>
            </w:r>
          </w:p>
        </w:tc>
        <w:tc>
          <w:tcPr>
            <w:tcW w:w="5310" w:type="dxa"/>
            <w:tcBorders/>
          </w:tcPr>
          <w:p>
            <w:pPr>
              <w:pStyle w:val="To"/>
              <w:rPr/>
            </w:pPr>
            <w:r>
              <w:rPr/>
              <w:t>Mark Haedicke and Chris Gaffney</w:t>
            </w:r>
          </w:p>
        </w:tc>
        <w:tc>
          <w:tcPr>
            <w:tcW w:w="1447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/>
            </w:pPr>
            <w:r>
              <w:rPr/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7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From:</w:t>
            </w:r>
          </w:p>
        </w:tc>
        <w:tc>
          <w:tcPr>
            <w:tcW w:w="5310" w:type="dxa"/>
            <w:tcBorders/>
          </w:tcPr>
          <w:p>
            <w:pPr>
              <w:pStyle w:val="From"/>
              <w:rPr/>
            </w:pPr>
            <w:r>
              <w:rPr/>
              <w:t>Peter Keohane</w:t>
            </w:r>
          </w:p>
        </w:tc>
        <w:tc>
          <w:tcPr>
            <w:tcW w:w="1447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ECC Legal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/>
            </w:pPr>
            <w:r>
              <w:rPr/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7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86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Subject:</w:t>
            </w:r>
          </w:p>
        </w:tc>
        <w:tc>
          <w:tcPr>
            <w:tcW w:w="531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QLR – May 25, 2001 – Proposed Agenda</w:t>
            </w:r>
          </w:p>
        </w:tc>
        <w:tc>
          <w:tcPr>
            <w:tcW w:w="1447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May 23, 2001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  <w:bookmarkStart w:id="1" w:name="StartOfMemo"/>
      <w:bookmarkStart w:id="2" w:name="StartOfMemo"/>
      <w:bookmarkEnd w:id="2"/>
    </w:p>
    <w:p>
      <w:pPr>
        <w:pStyle w:val="Body"/>
        <w:rPr>
          <w:sz w:val="20"/>
        </w:rPr>
      </w:pPr>
      <w:r>
        <w:rPr>
          <w:sz w:val="20"/>
        </w:rPr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Calgary Office Overview (Keohane)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Ontario Office Overview (Gaffney)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Current Enron Canada Legal Status Report (</w:t>
      </w:r>
      <w:r>
        <w:rPr>
          <w:b/>
          <w:bCs/>
        </w:rPr>
        <w:t>Attachment #1</w:t>
      </w:r>
      <w:r>
        <w:rPr/>
        <w:t>) (Keohane/Gaffney)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Current PPA Outstanding Matters Report (</w:t>
      </w:r>
      <w:r>
        <w:rPr>
          <w:b/>
          <w:bCs/>
        </w:rPr>
        <w:t>Attachment #2</w:t>
      </w:r>
      <w:r>
        <w:rPr/>
        <w:t>) (Keohane)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Retail Status (Keohane)</w:t>
      </w:r>
    </w:p>
    <w:p>
      <w:pPr>
        <w:pStyle w:val="Sharon1"/>
        <w:numPr>
          <w:ilvl w:val="0"/>
          <w:numId w:val="0"/>
        </w:numPr>
        <w:ind w:hanging="0" w:start="72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Retail Action Plan (</w:t>
      </w:r>
      <w:r>
        <w:rPr>
          <w:b/>
          <w:bCs/>
        </w:rPr>
        <w:t>Attachment #3</w:t>
      </w:r>
      <w:r>
        <w:rPr/>
        <w:t>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Retail Transaction Structure (Physical Gas and Power) (</w:t>
      </w:r>
      <w:r>
        <w:rPr>
          <w:b/>
          <w:bCs/>
        </w:rPr>
        <w:t>Attachment #4</w:t>
      </w:r>
      <w:r>
        <w:rPr/>
        <w:t>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Retail Financial Transactions (</w:t>
      </w:r>
      <w:r>
        <w:rPr>
          <w:b/>
          <w:bCs/>
        </w:rPr>
        <w:t>Attachment #5</w:t>
      </w:r>
      <w:r>
        <w:rPr/>
        <w:t>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Forms Update</w:t>
      </w:r>
    </w:p>
    <w:p>
      <w:pPr>
        <w:pStyle w:val="Sharon1"/>
        <w:numPr>
          <w:ilvl w:val="0"/>
          <w:numId w:val="0"/>
        </w:numPr>
        <w:ind w:hanging="0" w:start="72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EEI Power Master - Ontario Initiative (Gaffney)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EEI Power Master - Alberta (Keohane)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ECC Power Master (based on EEI Form) (Keohane)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Transaction Specific Physical Power Form for Alberta (Keohane)</w:t>
        <w:b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Retail Gas and Power Forms (Keohane)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Accomplishments (</w:t>
      </w:r>
      <w:r>
        <w:rPr>
          <w:b/>
          <w:bCs/>
        </w:rPr>
        <w:t>Attachment #6</w:t>
      </w:r>
      <w:r>
        <w:rPr/>
        <w:t>) (Keohane/Gaffney)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Legal Fees Update - Year to Date (</w:t>
      </w:r>
      <w:r>
        <w:rPr>
          <w:b/>
          <w:bCs/>
        </w:rPr>
        <w:t>Attachment #7</w:t>
      </w:r>
      <w:r>
        <w:rPr/>
        <w:t xml:space="preserve">) (Keohane) </w:t>
      </w:r>
    </w:p>
    <w:p>
      <w:pPr>
        <w:pStyle w:val="Sharon1"/>
        <w:numPr>
          <w:ilvl w:val="0"/>
          <w:numId w:val="2"/>
        </w:numPr>
        <w:ind w:hanging="0" w:start="0"/>
        <w:rPr/>
      </w:pPr>
      <w:r>
        <w:rPr/>
        <w:t>Performance Objectives (Haedicke)</w:t>
      </w:r>
    </w:p>
    <w:p>
      <w:pPr>
        <w:pStyle w:val="Sharon1"/>
        <w:numPr>
          <w:ilvl w:val="0"/>
          <w:numId w:val="0"/>
        </w:numPr>
        <w:spacing w:before="0" w:after="240"/>
        <w:ind w:hanging="720" w:start="720" w:end="0"/>
        <w:rPr/>
      </w:pPr>
      <w:r>
        <w:rPr/>
      </w:r>
    </w:p>
    <w:sectPr>
      <w:headerReference w:type="default" r:id="rId3"/>
      <w:type w:val="nextPage"/>
      <w:pgSz w:w="12240" w:h="15840"/>
      <w:pgMar w:left="720" w:right="72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920" w:end="0"/>
      <w:rPr>
        <w:b/>
        <w:sz w:val="32"/>
      </w:rPr>
    </w:pPr>
    <w:r>
      <w:rPr>
        <w:b/>
        <w:sz w:val="32"/>
      </w:rPr>
      <w:t>Interoffice</w:t>
    </w:r>
  </w:p>
  <w:p>
    <w:pPr>
      <w:pStyle w:val="Normal"/>
      <w:ind w:start="7920" w:end="0"/>
      <w:rPr>
        <w:b/>
        <w:sz w:val="32"/>
      </w:rPr>
    </w:pPr>
    <w:r>
      <w:rPr>
        <w:b/>
        <w:sz w:val="32"/>
      </w:rPr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Helvetica" w:hAnsi="Helvetica" w:eastAsia="Times New Roman" w:cs="Helvetica"/>
      <w:color w:val="000080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Arial" w:hAnsi="Arial" w:cs="Arial"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Arial" w:hAnsi="Arial" w:cs="Aria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/>
    <w:rPr>
      <w:sz w:val="2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Sharon1">
    <w:name w:val="Sharon1"/>
    <w:basedOn w:val="Normal"/>
    <w:qFormat/>
    <w:pPr>
      <w:numPr>
        <w:ilvl w:val="0"/>
        <w:numId w:val="2"/>
      </w:numPr>
      <w:spacing w:before="0" w:after="240"/>
      <w:jc w:val="both"/>
    </w:pPr>
    <w:rPr>
      <w:sz w:val="20"/>
    </w:rPr>
  </w:style>
  <w:style w:type="paragraph" w:styleId="Sharon2">
    <w:name w:val="Sharon2"/>
    <w:basedOn w:val="Normal"/>
    <w:qFormat/>
    <w:pPr>
      <w:numPr>
        <w:ilvl w:val="0"/>
        <w:numId w:val="1"/>
      </w:numPr>
      <w:spacing w:before="0" w:after="240"/>
    </w:pPr>
    <w:rPr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MemoLegal.dot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2001-05-23T15:55:00Z</dcterms:created>
  <dc:creator>scrawfo3</dc:creator>
  <dc:description/>
  <dc:language>en-CA</dc:language>
  <cp:lastModifiedBy>scrawfo3</cp:lastModifiedBy>
  <cp:lastPrinted>2001-05-23T14:33:00Z</cp:lastPrinted>
  <dcterms:modified xsi:type="dcterms:W3CDTF">2001-05-24T18:42:00Z</dcterms:modified>
  <cp:revision>9</cp:revision>
  <dc:subject/>
  <dc:title> </dc:title>
</cp:coreProperties>
</file>