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Canada Corp.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Outside Legal Fees Incurred - 2001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(Updated:  May 24, 2001)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Bennett Jones LLP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162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Charity Woodall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Human Resources/EDLP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02/04/01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973.73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68.16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1,041.89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11448" w:type="dxa"/>
            <w:gridSpan w:val="6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$1,041.89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Blake, Cassels &amp; Graydon LLP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90"/>
        <w:gridCol w:w="153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Blue Range Resource Corporation and Humble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Executive (50%)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Finance (50%)/ECC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02/27/01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11,623.14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810.12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12,433.26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03/12/01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ab/>
              <w:t>"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2,856.61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199.96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3,056.57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05/09/01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$15,489.83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IBIS Turbine Corporation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Moore Power/ECC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3,402.68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238.19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3,640.87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ab/>
              <w:t>"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1,673.78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117.16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1,790.94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$5,431.81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Merit Energy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Gas/ECC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05/01/01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1,208.85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84.62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1,293.47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05/18/01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$1,293.47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Moore Power Plant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Moore Power/ECC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01/16/01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20,330.65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1,412.21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21,742.86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03/12/01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$21,742.86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NGX Canada Inc.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Gas/ECC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02/14/01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02/14/01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71,212.54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4,983.83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76,196.37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$76,196.37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Project Papa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Alberta Power/ECPC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147,449.50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10,321.47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157,770.97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$157,770.97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Donahue Ernst &amp; Young LLP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90"/>
        <w:gridCol w:w="153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Gas Industry Issues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Gen. Admin./ECC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699.56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48.97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748.53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$748.53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General Matters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Retail/EDLP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792.50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53.10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845.60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$845.60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Ontario Electricity Financial Corporation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Ontario Power/ECC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25,071.64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1,750.40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26,822.04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ab/>
              <w:t>"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3,442.25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240.96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3,683.21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$30,505.25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Retail Initiative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Retail/EDLP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22,203.42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1,547.54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23,750.96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03/23/01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9,252.61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647.68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9,900.29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$33,651.25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LeBoeuf, Lamb, Green &amp; MacRae LLP (U.S.)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162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Moore Power 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Moore Power/ECC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134.13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134.13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03/26/01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769.71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769.71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11448" w:type="dxa"/>
            <w:gridSpan w:val="6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$903.84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Macleod Dixon LLP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162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NGX Canada Inc.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Gas/ECC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34,198.11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2,393.87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36,591.98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02/09/01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Gas/ECC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4,069.94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284.90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4,354.84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1,012.50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70.88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1,083.38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05/07/01</w:t>
            </w:r>
          </w:p>
        </w:tc>
      </w:tr>
      <w:tr>
        <w:trPr/>
        <w:tc>
          <w:tcPr>
            <w:tcW w:w="11448" w:type="dxa"/>
            <w:gridSpan w:val="6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$42,030.20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Osler, Hoskin &amp; Harcourt LLP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90"/>
        <w:gridCol w:w="153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Alberta Power Pool re: competition issues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Alberta Power/ECPC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01/19/01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5,705.91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399.41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6,105.32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$6,105.32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G-6 Electricity Marketing Joint Venture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Ontario Power/ECC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16,581.72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1,160.72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17,742.44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03/16/01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Ontario Power/ECC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02/20/01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6,044.45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423.11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6,467.56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04/06/01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$24,210.00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General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Ontario Power/ECC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1,363.80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95.47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1,459.27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$1,459.27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Ontario Power Generation re: Competition Issues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Ontario Power/ECC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04/30/01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1,380.00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96.60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1,476.60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05/09/01</w:t>
            </w:r>
          </w:p>
        </w:tc>
      </w:tr>
      <w:tr>
        <w:trPr/>
        <w:tc>
          <w:tcPr>
            <w:tcW w:w="11448" w:type="dxa"/>
            <w:gridSpan w:val="7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$1,476.60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9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Stikeman Elliott</w:t>
      </w:r>
    </w:p>
    <w:p>
      <w:pPr>
        <w:pStyle w:val="Normal"/>
        <w:keepNext w:val="true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162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keepNext w:val="tru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CIBC $40MM Financing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Gen. Admin./ECC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01/25/01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16,113.09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1,127.43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17,240.52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02/08/01</w:t>
            </w:r>
          </w:p>
        </w:tc>
      </w:tr>
      <w:tr>
        <w:trPr/>
        <w:tc>
          <w:tcPr>
            <w:tcW w:w="11448" w:type="dxa"/>
            <w:gridSpan w:val="6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$17,240.52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Vinson &amp; Elkins (U.S.)</w:t>
      </w:r>
    </w:p>
    <w:p>
      <w:pPr>
        <w:pStyle w:val="Normal"/>
        <w:keepNext w:val="true"/>
        <w:rPr/>
      </w:pPr>
      <w:r>
        <w:rP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162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General Trademark Matters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Retail/EDLP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590.00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590.00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03/06/01</w:t>
            </w:r>
          </w:p>
        </w:tc>
      </w:tr>
      <w:tr>
        <w:trPr/>
        <w:tc>
          <w:tcPr>
            <w:tcW w:w="11448" w:type="dxa"/>
            <w:gridSpan w:val="6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$590.00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keepNext w:val="true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SUMMARY: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10098"/>
      </w:tblGrid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BENNETT JONES LLP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1,041.89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BLAKE, CASSELS &amp; GRAYDON LLP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277,925.31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DONAHUE ERNST &amp; YOUNG LLP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65,750.63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MACLEOD DIXON LLP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42,030.20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OSLER, HOSKIN &amp; HARCOURT LLP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33,251.19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STIKEMAN ELLIOTT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       </w:t>
            </w:r>
            <w:r>
              <w:rPr>
                <w:sz w:val="22"/>
                <w:u w:val="single"/>
              </w:rPr>
              <w:t>17,240.52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snapToGrid w:val="false"/>
              <w:ind w:end="252"/>
              <w:jc w:val="end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/>
            </w:pPr>
            <w:r>
              <w:fldChar w:fldCharType="begin"/>
            </w:r>
            <w:r>
              <w:rPr>
                <w:sz w:val="22"/>
                <w:b/>
                <w:lang w:val="en-CA" w:eastAsia="en-CA"/>
              </w:rPr>
              <w:instrText xml:space="preserve"> =SUM(ABOVE) \# "$#,##0.00;($#,##0.00)"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$437,239.74</w: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</w:rPr>
              <w:t xml:space="preserve"> (Cdn.)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snapToGrid w:val="false"/>
              <w:ind w:end="252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10098"/>
      </w:tblGrid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LeBOEUF, LAMB, GREENE &amp; MacRAE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903.84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VINSON &amp; ELKINS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           </w:t>
            </w:r>
            <w:r>
              <w:rPr>
                <w:sz w:val="22"/>
                <w:u w:val="single"/>
              </w:rPr>
              <w:t>590.00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snapToGrid w:val="false"/>
              <w:ind w:end="252"/>
              <w:jc w:val="end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/>
            </w:pPr>
            <w:r>
              <w:fldChar w:fldCharType="begin"/>
            </w:r>
            <w:r>
              <w:rPr>
                <w:sz w:val="22"/>
                <w:b/>
                <w:lang w:val="en-CA" w:eastAsia="en-CA"/>
              </w:rPr>
              <w:instrText xml:space="preserve"> =SUM(ABOVE) \# "$#,##0.00;($#,##0.00)" </w:instrTex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separate"/>
            </w:r>
            <w:r>
              <w:rPr>
                <w:b/>
                <w:sz w:val="22"/>
                <w:lang w:val="en-CA" w:eastAsia="en-CA"/>
              </w:rPr>
              <w:t>$1,493.84</w:t>
            </w:r>
            <w:r>
              <w:rPr>
                <w:b/>
                <w:sz w:val="22"/>
                <w:lang w:val="en-CA" w:eastAsia="en-CA"/>
              </w:rPr>
            </w:r>
            <w:r>
              <w:rPr>
                <w:sz w:val="22"/>
                <w:b/>
                <w:lang w:val="en-CA" w:eastAsia="en-CA"/>
              </w:rPr>
              <w:fldChar w:fldCharType="end"/>
            </w:r>
            <w:r>
              <w:rPr>
                <w:b/>
                <w:sz w:val="22"/>
              </w:rPr>
              <w:t xml:space="preserve"> (U.S.)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snapToGrid w:val="false"/>
              <w:ind w:end="252"/>
              <w:jc w:val="end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orient="landscape" w:w="15840" w:h="12240"/>
          <w:pgMar w:left="720" w:right="720" w:gutter="0" w:header="720" w:top="776" w:footer="288" w:bottom="86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  <w:t>THIRD PARTY INVOICES:</w:t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/>
      </w:pPr>
      <w:r>
        <w:rPr/>
        <w:t>Frontier Economics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070"/>
        <w:gridCol w:w="1620"/>
        <w:gridCol w:w="1620"/>
        <w:gridCol w:w="1530"/>
        <w:gridCol w:w="1260"/>
        <w:gridCol w:w="1620"/>
        <w:gridCol w:w="1530"/>
      </w:tblGrid>
      <w:tr>
        <w:trPr>
          <w:tblHeader w:val="true"/>
        </w:trPr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Group Allocation/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Business Unit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Period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Ending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jc w:val="both"/>
              <w:rPr/>
            </w:pPr>
            <w:r>
              <w:rPr/>
              <w:t>GST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Submitted for Payment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NGX/Canadian Enerdata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Gas/ECC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02/27/01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11,674.13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11,674.13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02/28/01</w:t>
            </w:r>
          </w:p>
        </w:tc>
      </w:tr>
      <w:tr>
        <w:trPr/>
        <w:tc>
          <w:tcPr>
            <w:tcW w:w="11448" w:type="dxa"/>
            <w:gridSpan w:val="6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0"/>
              </w:rPr>
              <w:t>$11,674.13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keepNext w:val="true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SUMMARY OF THIRD PARTY INVOICES: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10098"/>
      </w:tblGrid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Frontier Economics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           </w:t>
            </w:r>
            <w:r>
              <w:rPr>
                <w:sz w:val="22"/>
                <w:u w:val="single"/>
              </w:rPr>
              <w:t>11,674.13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snapToGrid w:val="false"/>
              <w:ind w:end="252"/>
              <w:jc w:val="end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$11,674.13 (U.S.)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6" w:footer="288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/mnt/main-storage/datasets/enron-docs/doc/Proposed_Agenda___May_25.Att_7.doc</w:t>
    </w:r>
    <w:r>
      <w:rPr>
        <w:sz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4310" w:leader="none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/mnt/main-storage/datasets/enron-docs/doc/Proposed_Agenda___May_25.Att_7.doc</w:t>
    </w:r>
    <w:r>
      <w:rPr>
        <w:sz w:val="18"/>
      </w:rPr>
      <w:fldChar w:fldCharType="end"/>
    </w:r>
  </w:p>
  <w:p>
    <w:pPr>
      <w:pStyle w:val="Footer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/mnt/main-storage/datasets/enron-docs/doc/Proposed_Agenda___May_25.Att_7.doc</w:t>
    </w:r>
    <w:r>
      <w:rPr>
        <w:sz w:val="18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4310" w:leader="none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/mnt/main-storage/datasets/enron-docs/doc/Proposed_Agenda___May_25.Att_7.doc</w:t>
    </w:r>
    <w:r>
      <w:rPr>
        <w:sz w:val="18"/>
      </w:rPr>
      <w:fldChar w:fldCharType="end"/>
    </w:r>
  </w:p>
  <w:p>
    <w:pPr>
      <w:pStyle w:val="Foo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Outside Legal Fees - 2001</w:t>
    </w:r>
  </w:p>
  <w:p>
    <w:pPr>
      <w:pStyle w:val="Header"/>
      <w:jc w:val="end"/>
      <w:rPr>
        <w:rStyle w:val="PageNumber"/>
        <w:rFonts w:ascii="Arial" w:hAnsi="Arial" w:cs="Arial"/>
        <w:sz w:val="20"/>
      </w:rPr>
    </w:pPr>
    <w:r>
      <w:rPr>
        <w:rFonts w:cs="Arial" w:ascii="Arial" w:hAnsi="Arial"/>
        <w:sz w:val="20"/>
      </w:rPr>
      <w:t xml:space="preserve">Page </w:t>
    </w:r>
    <w:r>
      <w:rPr>
        <w:rStyle w:val="PageNumber"/>
        <w:rFonts w:cs="Arial" w:ascii="Arial" w:hAnsi="Arial"/>
        <w:sz w:val="20"/>
      </w:rPr>
      <w:fldChar w:fldCharType="begin"/>
    </w:r>
    <w:r>
      <w:rPr>
        <w:rStyle w:val="PageNumber"/>
        <w:sz w:val="20"/>
        <w:rFonts w:cs="Arial" w:ascii="Arial" w:hAnsi="Arial"/>
      </w:rPr>
      <w:instrText xml:space="preserve"> PAGE </w:instrText>
    </w:r>
    <w:r>
      <w:rPr>
        <w:rStyle w:val="PageNumber"/>
        <w:sz w:val="20"/>
        <w:rFonts w:cs="Arial" w:ascii="Arial" w:hAnsi="Arial"/>
      </w:rPr>
      <w:fldChar w:fldCharType="separate"/>
    </w:r>
    <w:r>
      <w:rPr>
        <w:rStyle w:val="PageNumber"/>
        <w:sz w:val="20"/>
        <w:rFonts w:cs="Arial" w:ascii="Arial" w:hAnsi="Arial"/>
      </w:rPr>
      <w:t>4</w:t>
    </w:r>
    <w:r>
      <w:rPr>
        <w:rStyle w:val="PageNumber"/>
        <w:sz w:val="20"/>
        <w:rFonts w:cs="Arial" w:ascii="Arial" w:hAnsi="Arial"/>
      </w:rPr>
      <w:fldChar w:fldCharType="end"/>
    </w:r>
  </w:p>
  <w:p>
    <w:pPr>
      <w:pStyle w:val="Header"/>
      <w:jc w:val="end"/>
      <w:rPr>
        <w:rStyle w:val="PageNumber"/>
        <w:rFonts w:ascii="Arial" w:hAnsi="Arial" w:cs="Arial"/>
        <w:sz w:val="2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Outside Legal Fees - 2001</w:t>
    </w:r>
  </w:p>
  <w:p>
    <w:pPr>
      <w:pStyle w:val="Header"/>
      <w:jc w:val="end"/>
      <w:rPr/>
    </w:pPr>
    <w:r>
      <w:rPr>
        <w:rFonts w:cs="Arial" w:ascii="Arial" w:hAnsi="Arial"/>
        <w:sz w:val="20"/>
      </w:rPr>
      <w:t xml:space="preserve">Page </w:t>
    </w:r>
    <w:r>
      <w:rPr>
        <w:rStyle w:val="PageNumber"/>
        <w:rFonts w:cs="Arial" w:ascii="Arial" w:hAnsi="Arial"/>
        <w:sz w:val="20"/>
      </w:rPr>
      <w:fldChar w:fldCharType="begin"/>
    </w:r>
    <w:r>
      <w:rPr>
        <w:rStyle w:val="PageNumber"/>
        <w:sz w:val="20"/>
        <w:rFonts w:cs="Arial" w:ascii="Arial" w:hAnsi="Arial"/>
      </w:rPr>
      <w:instrText xml:space="preserve"> PAGE </w:instrText>
    </w:r>
    <w:r>
      <w:rPr>
        <w:rStyle w:val="PageNumber"/>
        <w:sz w:val="20"/>
        <w:rFonts w:cs="Arial" w:ascii="Arial" w:hAnsi="Arial"/>
      </w:rPr>
      <w:fldChar w:fldCharType="separate"/>
    </w:r>
    <w:r>
      <w:rPr>
        <w:rStyle w:val="PageNumber"/>
        <w:sz w:val="20"/>
        <w:rFonts w:cs="Arial" w:ascii="Arial" w:hAnsi="Arial"/>
      </w:rPr>
      <w:t>0</w:t>
    </w:r>
    <w:r>
      <w:rPr>
        <w:rStyle w:val="PageNumber"/>
        <w:sz w:val="20"/>
        <w:rFonts w:cs="Arial" w:ascii="Arial" w:hAnsi="Arial"/>
      </w:rPr>
      <w:fldChar w:fldCharType="end"/>
    </w:r>
  </w:p>
  <w:p>
    <w:pPr>
      <w:pStyle w:val="Header"/>
      <w:jc w:val="end"/>
      <w:rPr>
        <w:rStyle w:val="PageNumber"/>
        <w:rFonts w:ascii="Arial" w:hAnsi="Arial" w:cs="Arial"/>
        <w:sz w:val="20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decimal" w:pos="702" w:leader="none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start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2001-05-24T18:48:00Z</dcterms:created>
  <dc:creator>scrawfo3</dc:creator>
  <dc:description/>
  <dc:language>en-CA</dc:language>
  <cp:lastModifiedBy>scrawfo3</cp:lastModifiedBy>
  <cp:lastPrinted>2001-05-23T14:26:00Z</cp:lastPrinted>
  <dcterms:modified xsi:type="dcterms:W3CDTF">2001-05-24T18:48:00Z</dcterms:modified>
  <cp:revision>3</cp:revision>
  <dc:subject/>
  <dc:title>Enron Canada Corp</dc:title>
</cp:coreProperties>
</file>