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and Darren Cross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 &amp; 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Direct</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Enron Direct Financial Transactions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22,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bookmarkStart w:id="1" w:name="StartOfMemo"/>
      <w:bookmarkEnd w:id="1"/>
      <w:r>
        <w:rPr/>
        <w:t>There have been a number of discussions held recently with respect to the possibility of Enron Direct Canada (“EDC”) entering into financial transactions with its retail customers.  Please find below a summary of the issues and conclusions reached thus far.</w:t>
      </w:r>
    </w:p>
    <w:p>
      <w:pPr>
        <w:pStyle w:val="Body"/>
        <w:spacing w:before="120" w:after="120"/>
        <w:jc w:val="both"/>
        <w:rPr>
          <w:b/>
          <w:bCs/>
        </w:rPr>
      </w:pPr>
      <w:r>
        <w:rPr>
          <w:b/>
          <w:bCs/>
        </w:rPr>
        <w:t>Background:</w:t>
      </w:r>
    </w:p>
    <w:p>
      <w:pPr>
        <w:pStyle w:val="Body"/>
        <w:spacing w:before="120" w:after="120"/>
        <w:jc w:val="both"/>
        <w:rPr/>
      </w:pPr>
      <w:r>
        <w:rPr/>
        <w:t>EDC is considering entering into financial transactions with its retail customers.  Any such contract would likely be papered under “omnibus” general terms and conditions (the “Omnibus”) as ISDAs or other form of master agreement (each a “Master”) would not be marketable to EDC’s customer group.  Of course, credit would need to be obtained in advance and the transactions.</w:t>
      </w:r>
    </w:p>
    <w:p>
      <w:pPr>
        <w:pStyle w:val="Body"/>
        <w:spacing w:before="120" w:after="120"/>
        <w:jc w:val="both"/>
        <w:rPr>
          <w:b/>
          <w:bCs/>
        </w:rPr>
      </w:pPr>
      <w:r>
        <w:rPr>
          <w:b/>
          <w:bCs/>
        </w:rPr>
        <w:t>Issues:</w:t>
      </w:r>
    </w:p>
    <w:p>
      <w:pPr>
        <w:pStyle w:val="Body"/>
        <w:numPr>
          <w:ilvl w:val="0"/>
          <w:numId w:val="2"/>
        </w:numPr>
        <w:spacing w:before="120" w:after="120"/>
        <w:jc w:val="both"/>
        <w:rPr>
          <w:b/>
          <w:bCs/>
        </w:rPr>
      </w:pPr>
      <w:r>
        <w:rPr>
          <w:b/>
          <w:bCs/>
        </w:rPr>
        <w:t>Enron would be best served if all transactions were entered with the same Canadian entity for documentation, netting and setoff purposes.</w:t>
      </w:r>
    </w:p>
    <w:p>
      <w:pPr>
        <w:pStyle w:val="Body"/>
        <w:spacing w:before="120" w:after="120"/>
        <w:ind w:start="717" w:end="0"/>
        <w:jc w:val="both"/>
        <w:rPr/>
      </w:pPr>
      <w:r>
        <w:rPr/>
        <w:t xml:space="preserve">For the most part, the commercial solution will drive the legal solution, as the intention will be for EDC, as the mass markets retailer, to only be entering into one-off deals for smaller volumes with counterparties for which a Master would not be appropriate and not likely exist.  </w:t>
      </w:r>
    </w:p>
    <w:p>
      <w:pPr>
        <w:pStyle w:val="Body"/>
        <w:spacing w:before="120" w:after="120"/>
        <w:ind w:firstLine="645" w:end="0"/>
        <w:jc w:val="both"/>
        <w:rPr/>
      </w:pPr>
      <w:r>
        <w:rPr/>
        <w:t>The financial transactions are to be dealt with as follows:</w:t>
      </w:r>
    </w:p>
    <w:p>
      <w:pPr>
        <w:pStyle w:val="Body"/>
        <w:spacing w:before="120" w:after="120"/>
        <w:ind w:hanging="720" w:start="1437" w:end="0"/>
        <w:jc w:val="both"/>
        <w:rPr/>
      </w:pPr>
      <w:r>
        <w:rPr/>
        <w:t>a.</w:t>
        <w:tab/>
        <w:t xml:space="preserve">if the counterparty has an existing Master in place with Enron Canada Corp. (“ECC”) (or Enron North America Corp. (“ENA”) under the services agreement between ECC and ENA), the documents should be transacted through the Master (i.e. within Enron Wholesale Services).; </w:t>
      </w:r>
    </w:p>
    <w:p>
      <w:pPr>
        <w:pStyle w:val="Body"/>
        <w:numPr>
          <w:ilvl w:val="0"/>
          <w:numId w:val="3"/>
        </w:numPr>
        <w:spacing w:before="120" w:after="120"/>
        <w:jc w:val="both"/>
        <w:rPr/>
      </w:pPr>
      <w:r>
        <w:rPr/>
        <w:t>if not, the contract would be (depending upon commercial division of territory):</w:t>
      </w:r>
    </w:p>
    <w:p>
      <w:pPr>
        <w:pStyle w:val="Body"/>
        <w:numPr>
          <w:ilvl w:val="1"/>
          <w:numId w:val="3"/>
        </w:numPr>
        <w:spacing w:before="120" w:after="120"/>
        <w:jc w:val="both"/>
        <w:rPr/>
      </w:pPr>
      <w:r>
        <w:rPr/>
        <w:t>entered between ECC and the counterparty under the Omnibus; or</w:t>
      </w:r>
    </w:p>
    <w:p>
      <w:pPr>
        <w:pStyle w:val="Body"/>
        <w:numPr>
          <w:ilvl w:val="1"/>
          <w:numId w:val="3"/>
        </w:numPr>
        <w:spacing w:before="120" w:after="120"/>
        <w:jc w:val="both"/>
        <w:rPr/>
      </w:pPr>
      <w:r>
        <w:rPr/>
        <w:t>entered between EDC and the counterparty under the Omnibus,</w:t>
      </w:r>
    </w:p>
    <w:p>
      <w:pPr>
        <w:pStyle w:val="Body"/>
        <w:spacing w:before="120" w:after="120"/>
        <w:ind w:firstLine="648" w:start="789" w:end="0"/>
        <w:jc w:val="both"/>
        <w:rPr/>
      </w:pPr>
      <w:r>
        <w:rPr/>
        <w:t>ensuring the terms of the Omnibus provide for direct and affiliate set-off rights.</w:t>
      </w:r>
    </w:p>
    <w:p>
      <w:pPr>
        <w:pStyle w:val="Body"/>
        <w:spacing w:before="120" w:after="120"/>
        <w:ind w:start="717" w:end="0"/>
        <w:jc w:val="both"/>
        <w:rPr/>
      </w:pPr>
      <w:r>
        <w:rPr/>
        <w:t xml:space="preserve">We may want to simplify the Omnibus to make it more marketable to EDC’s customers.  Rob has confirmed for us that the current plans for EDC financial transactions with its retail customers are limited to fixed-floating swaps.  </w:t>
      </w:r>
    </w:p>
    <w:p>
      <w:pPr>
        <w:pStyle w:val="Body"/>
        <w:numPr>
          <w:ilvl w:val="0"/>
          <w:numId w:val="2"/>
        </w:numPr>
        <w:spacing w:before="120" w:after="120"/>
        <w:jc w:val="both"/>
        <w:rPr>
          <w:b/>
          <w:bCs/>
        </w:rPr>
      </w:pPr>
      <w:r>
        <w:rPr>
          <w:b/>
          <w:bCs/>
        </w:rPr>
        <w:t>Under Canadian securities laws, is EDC qualified to enter into financial transactions with its retail customers?</w:t>
      </w:r>
    </w:p>
    <w:p>
      <w:pPr>
        <w:pStyle w:val="Body"/>
        <w:spacing w:before="120" w:after="120"/>
        <w:ind w:start="717" w:end="0"/>
        <w:jc w:val="both"/>
        <w:rPr/>
      </w:pPr>
      <w:r>
        <w:rPr/>
        <w:t xml:space="preserve">Under the existing securities laws of Alberta and British Columbia, there is a “commercial user” exemption which is so broad that it would be difficult to contemplate a counterparty that would not qualify (based on natural gas or electricity).  Further, the Omnibus includes a representation from the counterparty that it is a “qualified party”.  </w:t>
      </w:r>
    </w:p>
    <w:p>
      <w:pPr>
        <w:pStyle w:val="Body"/>
        <w:spacing w:before="120" w:after="120"/>
        <w:ind w:start="717" w:end="0"/>
        <w:jc w:val="both"/>
        <w:rPr/>
      </w:pPr>
      <w:r>
        <w:rPr/>
        <w:t>[</w:t>
      </w:r>
      <w:r>
        <w:rPr>
          <w:b/>
          <w:bCs/>
        </w:rPr>
        <w:t>Note</w:t>
      </w:r>
      <w:r>
        <w:rPr/>
        <w:t xml:space="preserve">:  As of the time of this memo, similar amendments to the securities law of Ontario are still in draft form and have yet to be enacted.]  </w:t>
      </w:r>
    </w:p>
    <w:p>
      <w:pPr>
        <w:pStyle w:val="Body"/>
        <w:spacing w:before="120" w:after="120"/>
        <w:ind w:start="717" w:end="0"/>
        <w:jc w:val="both"/>
        <w:rPr/>
      </w:pPr>
      <w:r>
        <w:rPr/>
        <w:t>[</w:t>
      </w:r>
      <w:r>
        <w:rPr>
          <w:b/>
          <w:bCs/>
        </w:rPr>
        <w:t>Note</w:t>
      </w:r>
      <w:r>
        <w:rPr/>
        <w:t xml:space="preserve">:  The </w:t>
      </w:r>
      <w:r>
        <w:rPr>
          <w:i/>
          <w:iCs/>
        </w:rPr>
        <w:t>Commodities Futures Trading Act</w:t>
      </w:r>
      <w:r>
        <w:rPr/>
        <w:t xml:space="preserve"> (Ontario) only applies to exchange traded forward contracts and options on those contracts.  It does not apply to over-the-counter or spot transactions and, therefore, is generally inapplicable to the wholesale or retail business.  Physical retail contracts are regulated for electricity and natural gas in Alberta.  However, we have completed all regulatory requirements including having the initial forms of agreements approved by the regulator that issued our retail licences.]  </w:t>
      </w:r>
    </w:p>
    <w:p>
      <w:pPr>
        <w:pStyle w:val="Body"/>
        <w:spacing w:before="120" w:after="120"/>
        <w:ind w:start="717" w:end="0"/>
        <w:jc w:val="both"/>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/mnt/main-storage/datasets/enron-docs/doc/Proposed_Agenda___May_25.Att_5.doc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/mnt/main-storage/datasets/enron-docs/doc/Proposed_Agenda___May_25.Att_5.doc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abstractNum w:abstractNumId="3">
    <w:lvl w:ilvl="0">
      <w:start w:val="2"/>
      <w:numFmt w:val="lowerLetter"/>
      <w:lvlText w:val="%1."/>
      <w:lvlJc w:val="start"/>
      <w:pPr>
        <w:tabs>
          <w:tab w:val="num" w:pos="1437"/>
        </w:tabs>
        <w:ind w:start="1437" w:hanging="720"/>
      </w:pPr>
      <w:rPr/>
    </w:lvl>
    <w:lvl w:ilvl="1">
      <w:start w:val="1"/>
      <w:numFmt w:val="lowerRoman"/>
      <w:lvlText w:val="%2."/>
      <w:lvlJc w:val="start"/>
      <w:pPr>
        <w:tabs>
          <w:tab w:val="num" w:pos="2157"/>
        </w:tabs>
        <w:ind w:start="2157" w:hanging="720"/>
      </w:pPr>
      <w:rPr/>
    </w:lvl>
    <w:lvl w:ilvl="2">
      <w:start w:val="1"/>
      <w:numFmt w:val="lowerRoman"/>
      <w:lvlText w:val="%3."/>
      <w:lvlJc w:val="end"/>
      <w:pPr>
        <w:tabs>
          <w:tab w:val="num" w:pos="2517"/>
        </w:tabs>
        <w:ind w:start="2517" w:hanging="180"/>
      </w:pPr>
    </w:lvl>
    <w:lvl w:ilvl="3">
      <w:start w:val="1"/>
      <w:numFmt w:val="decimal"/>
      <w:lvlText w:val="%4."/>
      <w:lvlJc w:val="start"/>
      <w:pPr>
        <w:tabs>
          <w:tab w:val="num" w:pos="3237"/>
        </w:tabs>
        <w:ind w:start="3237" w:hanging="360"/>
      </w:pPr>
    </w:lvl>
    <w:lvl w:ilvl="4">
      <w:start w:val="1"/>
      <w:numFmt w:val="lowerLetter"/>
      <w:lvlText w:val="%5."/>
      <w:lvlJc w:val="start"/>
      <w:pPr>
        <w:tabs>
          <w:tab w:val="num" w:pos="3957"/>
        </w:tabs>
        <w:ind w:start="3957" w:hanging="360"/>
      </w:pPr>
    </w:lvl>
    <w:lvl w:ilvl="5">
      <w:start w:val="1"/>
      <w:numFmt w:val="lowerRoman"/>
      <w:lvlText w:val="%6."/>
      <w:lvlJc w:val="end"/>
      <w:pPr>
        <w:tabs>
          <w:tab w:val="num" w:pos="4677"/>
        </w:tabs>
        <w:ind w:start="4677" w:hanging="180"/>
      </w:pPr>
    </w:lvl>
    <w:lvl w:ilvl="6">
      <w:start w:val="1"/>
      <w:numFmt w:val="decimal"/>
      <w:lvlText w:val="%7."/>
      <w:lvlJc w:val="start"/>
      <w:pPr>
        <w:tabs>
          <w:tab w:val="num" w:pos="5397"/>
        </w:tabs>
        <w:ind w:start="5397" w:hanging="360"/>
      </w:pPr>
    </w:lvl>
    <w:lvl w:ilvl="7">
      <w:start w:val="1"/>
      <w:numFmt w:val="lowerLetter"/>
      <w:lvlText w:val="%8."/>
      <w:lvlJc w:val="start"/>
      <w:pPr>
        <w:tabs>
          <w:tab w:val="num" w:pos="6117"/>
        </w:tabs>
        <w:ind w:start="6117" w:hanging="360"/>
      </w:pPr>
    </w:lvl>
    <w:lvl w:ilvl="8">
      <w:start w:val="1"/>
      <w:numFmt w:val="lowerRoman"/>
      <w:lvlText w:val="%9."/>
      <w:lvlJc w:val="end"/>
      <w:pPr>
        <w:tabs>
          <w:tab w:val="num" w:pos="6837"/>
        </w:tabs>
        <w:ind w:start="6837"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Times New Roman" w:hAnsi="Times New Roman" w:eastAsia="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2001-05-24T18:47:00Z</dcterms:created>
  <dc:creator>ncappel</dc:creator>
  <dc:description/>
  <dc:language>en-CA</dc:language>
  <cp:lastModifiedBy>scrawfo3</cp:lastModifiedBy>
  <cp:lastPrinted>2001-05-23T14:30:00Z</cp:lastPrinted>
  <dcterms:modified xsi:type="dcterms:W3CDTF">2001-05-24T18:47:00Z</dcterms:modified>
  <cp:revision>2</cp:revision>
  <dc:subject/>
  <dc:title>Eron Capital &amp; Trade Resources Memo</dc:title>
</cp:coreProperties>
</file>