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t>Attachment #4</w:t>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Rob Milnthorp, Derek Davies, Peter Keohane, Jon McKay, Darren Cross &amp; Kate Joslyn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rPr>
                <w:sz w:val="18"/>
              </w:rPr>
            </w:pPr>
            <w:r>
              <w:rPr>
                <w:sz w:val="18"/>
              </w:rPr>
              <w:t>Greg Johnston</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Peter Keohane and Mark Powell</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Law</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Risk Management Memo – Proposed Transaction Structures</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t>May 25, 2001</w:t>
            </w:r>
          </w:p>
        </w:tc>
      </w:tr>
      <w:tr>
        <w:trPr/>
        <w:tc>
          <w:tcPr>
            <w:tcW w:w="708" w:type="dxa"/>
            <w:tcBorders>
              <w:bottom w:val="single" w:sz="12" w:space="0" w:color="000000"/>
            </w:tcBorders>
          </w:tcPr>
          <w:p>
            <w:pPr>
              <w:pStyle w:val="Normal"/>
              <w:snapToGrid w:val="false"/>
              <w:ind w:start="-180" w:end="0"/>
              <w:jc w:val="end"/>
              <w:rPr>
                <w:sz w:val="16"/>
              </w:rPr>
            </w:pPr>
            <w:r>
              <w:rPr>
                <w:sz w:val="16"/>
              </w:rPr>
            </w:r>
          </w:p>
        </w:tc>
        <w:tc>
          <w:tcPr>
            <w:tcW w:w="6045" w:type="dxa"/>
            <w:tcBorders>
              <w:bottom w:val="single" w:sz="12" w:space="0" w:color="000000"/>
            </w:tcBorders>
          </w:tcPr>
          <w:p>
            <w:pPr>
              <w:pStyle w:val="Subject"/>
              <w:snapToGrid w:val="false"/>
              <w:rPr>
                <w:sz w:val="16"/>
              </w:rPr>
            </w:pPr>
            <w:r>
              <w:rPr>
                <w:sz w:val="16"/>
              </w:rPr>
            </w:r>
          </w:p>
        </w:tc>
        <w:tc>
          <w:tcPr>
            <w:tcW w:w="990" w:type="dxa"/>
            <w:tcBorders>
              <w:bottom w:val="single" w:sz="12" w:space="0" w:color="000000"/>
            </w:tcBorders>
          </w:tcPr>
          <w:p>
            <w:pPr>
              <w:pStyle w:val="Normal"/>
              <w:snapToGrid w:val="false"/>
              <w:ind w:start="-180" w:end="0"/>
              <w:jc w:val="end"/>
              <w:rPr>
                <w:sz w:val="16"/>
              </w:rPr>
            </w:pPr>
            <w:r>
              <w:rPr>
                <w:sz w:val="16"/>
              </w:rPr>
            </w:r>
          </w:p>
        </w:tc>
        <w:tc>
          <w:tcPr>
            <w:tcW w:w="2965" w:type="dxa"/>
            <w:tcBorders>
              <w:bottom w:val="single" w:sz="12" w:space="0" w:color="000000"/>
            </w:tcBorders>
          </w:tcPr>
          <w:p>
            <w:pPr>
              <w:pStyle w:val="Date"/>
              <w:snapToGrid w:val="false"/>
              <w:rPr>
                <w:sz w:val="16"/>
              </w:rPr>
            </w:pPr>
            <w:r>
              <w:rPr>
                <w:sz w:val="16"/>
              </w:rPr>
            </w:r>
          </w:p>
        </w:tc>
      </w:tr>
    </w:tbl>
    <w:p>
      <w:pPr>
        <w:pStyle w:val="Body"/>
        <w:spacing w:before="120" w:after="120"/>
        <w:jc w:val="both"/>
        <w:rPr/>
      </w:pPr>
      <w:bookmarkStart w:id="1" w:name="StartOfMemo"/>
      <w:bookmarkEnd w:id="1"/>
      <w:r>
        <w:rPr/>
        <w:br/>
        <w:t>Further to our meeting on May 15, 2001, below is a summary of the proposed deal structures.</w:t>
      </w:r>
    </w:p>
    <w:p>
      <w:pPr>
        <w:pStyle w:val="Body"/>
        <w:spacing w:before="120" w:after="120"/>
        <w:jc w:val="both"/>
        <w:rPr/>
      </w:pPr>
      <w:r>
        <w:rPr/>
        <w:t>The intention of the structures is to ensure that the risk management function resides within ECC or that the balancing risk remains with EDC’s customers (i.e. EDC is not to manage or carry balancing risk).</w:t>
      </w:r>
    </w:p>
    <w:p>
      <w:pPr>
        <w:pStyle w:val="Body"/>
        <w:spacing w:before="120" w:after="120"/>
        <w:jc w:val="both"/>
        <w:rPr>
          <w:b/>
          <w:bCs/>
        </w:rPr>
      </w:pPr>
      <w:r>
        <w:rPr>
          <w:b/>
          <w:bCs/>
        </w:rPr>
        <w:t>A.</w:t>
        <w:tab/>
        <w:t>Gas - Rate 11 (“All Requirements” or “Load Following” with Monthly Balancing)</w:t>
      </w:r>
    </w:p>
    <w:p>
      <w:pPr>
        <w:pStyle w:val="Body"/>
        <w:spacing w:before="120" w:after="120"/>
        <w:ind w:start="54" w:end="0"/>
        <w:jc w:val="both"/>
        <w:rPr/>
      </w:pPr>
      <w:r>
        <w:rPr/>
        <w:t>Original Transaction Structure:</w:t>
      </w:r>
    </w:p>
    <w:p>
      <w:pPr>
        <w:pStyle w:val="Body"/>
        <w:spacing w:before="120" w:after="120"/>
        <w:ind w:hanging="18" w:end="0"/>
        <w:jc w:val="both"/>
        <w:rPr>
          <w:sz w:val="16"/>
        </w:rPr>
      </w:pPr>
      <w:r>
        <w:rPr>
          <w:b/>
          <w:bCs/>
          <w:sz w:val="16"/>
        </w:rPr>
        <w:t xml:space="preserve">ECC  </w:t>
      </w:r>
      <w:r>
        <w:rPr>
          <w:rFonts w:eastAsia="Wingdings" w:cs="Wingdings" w:ascii="Wingdings" w:hAnsi="Wingdings"/>
          <w:b/>
          <w:bCs/>
          <w:sz w:val="16"/>
        </w:rPr>
        <w:sym w:font="Wingdings" w:char="f0df"/>
      </w:r>
      <w:r>
        <w:rPr>
          <w:sz w:val="16"/>
        </w:rPr>
        <w:t xml:space="preserve"> Fixed Price, </w:t>
      </w:r>
      <w:r>
        <w:rPr>
          <w:sz w:val="16"/>
          <w:u w:val="single"/>
        </w:rPr>
        <w:t>including</w:t>
      </w:r>
      <w:r>
        <w:rPr>
          <w:sz w:val="16"/>
        </w:rPr>
        <w:t xml:space="preserve"> Balancing Risk Premium (“FP”) for Fixed Volume </w:t>
      </w:r>
      <w:r>
        <w:rPr>
          <w:rFonts w:eastAsia="Wingdings" w:cs="Wingdings" w:ascii="Wingdings" w:hAnsi="Wingdings"/>
          <w:b/>
          <w:bCs/>
          <w:sz w:val="16"/>
        </w:rPr>
        <w:sym w:font="Wingdings" w:char="f0e0"/>
      </w:r>
      <w:r>
        <w:rPr>
          <w:b/>
          <w:bCs/>
          <w:sz w:val="16"/>
        </w:rPr>
        <w:t xml:space="preserve"> EDC </w:t>
      </w:r>
      <w:r>
        <w:rPr>
          <w:rFonts w:eastAsia="Wingdings" w:cs="Wingdings" w:ascii="Wingdings" w:hAnsi="Wingdings"/>
          <w:b/>
          <w:bCs/>
          <w:sz w:val="16"/>
        </w:rPr>
        <w:sym w:font="Wingdings" w:char="f0df"/>
      </w:r>
      <w:r>
        <w:rPr>
          <w:sz w:val="16"/>
        </w:rPr>
        <w:t xml:space="preserve"> (FP +  Retail Margin) for Variable Volume </w:t>
      </w:r>
      <w:r>
        <w:rPr>
          <w:rFonts w:eastAsia="Wingdings" w:cs="Wingdings" w:ascii="Wingdings" w:hAnsi="Wingdings"/>
          <w:b/>
          <w:bCs/>
          <w:sz w:val="16"/>
        </w:rPr>
        <w:sym w:font="Wingdings" w:char="f0e0"/>
      </w:r>
      <w:r>
        <w:rPr>
          <w:b/>
          <w:bCs/>
          <w:sz w:val="16"/>
        </w:rPr>
        <w:t xml:space="preserve">  Customer</w:t>
      </w:r>
    </w:p>
    <w:p>
      <w:pPr>
        <w:pStyle w:val="Body"/>
        <w:tabs>
          <w:tab w:val="left" w:pos="810" w:leader="none"/>
        </w:tabs>
        <w:spacing w:before="120" w:after="120"/>
        <w:ind w:start="54" w:end="0"/>
        <w:jc w:val="both"/>
        <w:rPr/>
      </w:pPr>
      <w:r>
        <w:rPr/>
        <w:br/>
        <w:t>Balancing Transaction Structure:</w:t>
      </w:r>
    </w:p>
    <w:p>
      <w:pPr>
        <w:pStyle w:val="Body"/>
        <w:tabs>
          <w:tab w:val="left" w:pos="810" w:leader="none"/>
        </w:tabs>
        <w:spacing w:before="120" w:after="120"/>
        <w:jc w:val="both"/>
        <w:rPr/>
      </w:pPr>
      <w:r>
        <w:rPr>
          <w:b/>
          <w:bCs/>
          <w:sz w:val="16"/>
        </w:rPr>
        <w:t xml:space="preserve">ECC </w:t>
      </w:r>
      <w:r>
        <w:rPr>
          <w:rFonts w:eastAsia="Wingdings" w:cs="Wingdings" w:ascii="Wingdings" w:hAnsi="Wingdings"/>
          <w:sz w:val="16"/>
        </w:rPr>
        <w:sym w:font="Wingdings" w:char="f0df"/>
      </w:r>
      <w:r>
        <w:rPr>
          <w:sz w:val="16"/>
        </w:rPr>
        <w:t xml:space="preserve"> FP for Balancing Volume </w:t>
      </w:r>
      <w:r>
        <w:rPr>
          <w:rFonts w:eastAsia="Wingdings" w:cs="Wingdings" w:ascii="Wingdings" w:hAnsi="Wingdings"/>
          <w:sz w:val="16"/>
        </w:rPr>
        <w:sym w:font="Wingdings" w:char="f0e0"/>
      </w:r>
      <w:r>
        <w:rPr>
          <w:sz w:val="16"/>
        </w:rPr>
        <w:t xml:space="preserve"> </w:t>
      </w:r>
      <w:r>
        <w:rPr>
          <w:b/>
          <w:bCs/>
          <w:sz w:val="16"/>
        </w:rPr>
        <w:t>EDC</w:t>
      </w:r>
    </w:p>
    <w:p>
      <w:pPr>
        <w:pStyle w:val="Body"/>
        <w:tabs>
          <w:tab w:val="left" w:pos="810" w:leader="none"/>
        </w:tabs>
        <w:spacing w:before="120" w:after="120"/>
        <w:jc w:val="both"/>
        <w:rPr>
          <w:b/>
          <w:bCs/>
          <w:sz w:val="16"/>
        </w:rPr>
      </w:pPr>
      <w:r>
        <w:rPr>
          <w:b/>
          <w:bCs/>
          <w:sz w:val="16"/>
        </w:rPr>
      </w:r>
    </w:p>
    <w:p>
      <w:pPr>
        <w:pStyle w:val="Body"/>
        <w:numPr>
          <w:ilvl w:val="1"/>
          <w:numId w:val="5"/>
        </w:numPr>
        <w:spacing w:before="120" w:after="120"/>
        <w:jc w:val="both"/>
        <w:rPr/>
      </w:pPr>
      <w:r>
        <w:rPr/>
        <w:t>Customer contracts with EDC for all requirements at a fixed price.</w:t>
      </w:r>
    </w:p>
    <w:p>
      <w:pPr>
        <w:pStyle w:val="Body"/>
        <w:numPr>
          <w:ilvl w:val="1"/>
          <w:numId w:val="5"/>
        </w:numPr>
        <w:spacing w:before="120" w:after="120"/>
        <w:jc w:val="both"/>
        <w:rPr/>
      </w:pPr>
      <w:r>
        <w:rPr/>
        <w:t>EDC backs the transaction for a fixed volume (based on the normalized (or estimated) volumes provided by ATCO) at a fixed price with ECC.  ECC retains the balancing risk in exchange for a balancing risk premium imbedded in the fixed price.</w:t>
      </w:r>
    </w:p>
    <w:p>
      <w:pPr>
        <w:pStyle w:val="Body"/>
        <w:numPr>
          <w:ilvl w:val="1"/>
          <w:numId w:val="5"/>
        </w:numPr>
        <w:spacing w:before="120" w:after="120"/>
        <w:jc w:val="both"/>
        <w:rPr/>
      </w:pPr>
      <w:r>
        <w:rPr/>
        <w:t>Balancing transactions occur monthly at the fixed price between ECC and EDC as necessary.</w:t>
      </w:r>
      <w:r>
        <w:br w:type="page"/>
      </w:r>
    </w:p>
    <w:p>
      <w:pPr>
        <w:pStyle w:val="Body"/>
        <w:spacing w:before="120" w:after="120"/>
        <w:ind w:start="792" w:end="0"/>
        <w:jc w:val="both"/>
        <w:rPr/>
      </w:pPr>
      <w:r>
        <w:rPr/>
      </w:r>
    </w:p>
    <w:p>
      <w:pPr>
        <w:pStyle w:val="Body"/>
        <w:spacing w:before="120" w:after="120"/>
        <w:ind w:hanging="645" w:start="717" w:end="0"/>
        <w:jc w:val="both"/>
        <w:rPr>
          <w:b/>
          <w:bCs/>
        </w:rPr>
      </w:pPr>
      <w:r>
        <w:rPr>
          <w:b/>
          <w:bCs/>
        </w:rPr>
        <w:t>B.</w:t>
        <w:tab/>
        <w:t>Gas - Rate 13 (Fixed Volume with Daily Balancing)</w:t>
      </w:r>
    </w:p>
    <w:p>
      <w:pPr>
        <w:pStyle w:val="Body"/>
        <w:spacing w:before="120" w:after="120"/>
        <w:jc w:val="both"/>
        <w:rPr/>
      </w:pPr>
      <w:r>
        <w:rPr/>
        <w:br/>
        <w:t>Original Transaction Structure:</w:t>
      </w:r>
    </w:p>
    <w:p>
      <w:pPr>
        <w:pStyle w:val="Body"/>
        <w:spacing w:before="120" w:after="120"/>
        <w:jc w:val="both"/>
        <w:rPr>
          <w:sz w:val="16"/>
        </w:rPr>
      </w:pPr>
      <w:r>
        <w:rPr>
          <w:b/>
          <w:bCs/>
          <w:sz w:val="16"/>
        </w:rPr>
        <w:t xml:space="preserve">ECC  </w:t>
      </w:r>
      <w:r>
        <w:rPr>
          <w:rFonts w:eastAsia="Wingdings" w:cs="Wingdings" w:ascii="Wingdings" w:hAnsi="Wingdings"/>
          <w:b/>
          <w:bCs/>
          <w:sz w:val="16"/>
        </w:rPr>
        <w:sym w:font="Wingdings" w:char="f0df"/>
      </w:r>
      <w:r>
        <w:rPr>
          <w:sz w:val="16"/>
        </w:rPr>
        <w:t xml:space="preserve"> Fixed Price, </w:t>
      </w:r>
      <w:r>
        <w:rPr>
          <w:sz w:val="16"/>
          <w:u w:val="single"/>
        </w:rPr>
        <w:t>no</w:t>
      </w:r>
      <w:r>
        <w:rPr>
          <w:sz w:val="16"/>
        </w:rPr>
        <w:t xml:space="preserve"> Balancing Risk Premium (“FP”) for Fixed Volume </w:t>
      </w:r>
      <w:r>
        <w:rPr>
          <w:rFonts w:eastAsia="Wingdings" w:cs="Wingdings" w:ascii="Wingdings" w:hAnsi="Wingdings"/>
          <w:b/>
          <w:bCs/>
          <w:sz w:val="16"/>
        </w:rPr>
        <w:sym w:font="Wingdings" w:char="f0e0"/>
      </w:r>
      <w:r>
        <w:rPr>
          <w:b/>
          <w:bCs/>
          <w:sz w:val="16"/>
        </w:rPr>
        <w:t xml:space="preserve"> EDC </w:t>
      </w:r>
      <w:r>
        <w:rPr>
          <w:rFonts w:eastAsia="Wingdings" w:cs="Wingdings" w:ascii="Wingdings" w:hAnsi="Wingdings"/>
          <w:b/>
          <w:bCs/>
          <w:sz w:val="16"/>
        </w:rPr>
        <w:sym w:font="Wingdings" w:char="f0df"/>
      </w:r>
      <w:r>
        <w:rPr>
          <w:sz w:val="16"/>
        </w:rPr>
        <w:t xml:space="preserve"> (FP +  Retail Margin) for Fixed Volume and Index Price for Balancing Volume </w:t>
      </w:r>
      <w:r>
        <w:rPr>
          <w:rFonts w:eastAsia="Wingdings" w:cs="Wingdings" w:ascii="Wingdings" w:hAnsi="Wingdings"/>
          <w:b/>
          <w:bCs/>
          <w:sz w:val="16"/>
        </w:rPr>
        <w:sym w:font="Wingdings" w:char="f0e0"/>
      </w:r>
      <w:r>
        <w:rPr>
          <w:b/>
          <w:bCs/>
          <w:sz w:val="16"/>
        </w:rPr>
        <w:t xml:space="preserve">  Customer</w:t>
      </w:r>
    </w:p>
    <w:p>
      <w:pPr>
        <w:pStyle w:val="Body"/>
        <w:spacing w:before="120" w:after="120"/>
        <w:rPr>
          <w:b/>
          <w:bCs/>
          <w:sz w:val="16"/>
        </w:rPr>
      </w:pPr>
      <w:r>
        <w:rPr/>
        <w:br/>
        <w:t>Balancing Transaction Structure:</w:t>
      </w:r>
    </w:p>
    <w:p>
      <w:pPr>
        <w:pStyle w:val="Body"/>
        <w:spacing w:before="120" w:after="120"/>
        <w:rPr/>
      </w:pPr>
      <w:r>
        <w:rPr>
          <w:b/>
          <w:bCs/>
          <w:sz w:val="16"/>
        </w:rPr>
        <w:t xml:space="preserve">ECC </w:t>
      </w:r>
      <w:r>
        <w:rPr>
          <w:rFonts w:eastAsia="Wingdings" w:cs="Wingdings" w:ascii="Wingdings" w:hAnsi="Wingdings"/>
          <w:sz w:val="16"/>
        </w:rPr>
        <w:sym w:font="Wingdings" w:char="f0df"/>
      </w:r>
      <w:r>
        <w:rPr>
          <w:sz w:val="16"/>
        </w:rPr>
        <w:t xml:space="preserve"> Index Price for Balancing Volume </w:t>
      </w:r>
      <w:r>
        <w:rPr>
          <w:rFonts w:eastAsia="Wingdings" w:cs="Wingdings" w:ascii="Wingdings" w:hAnsi="Wingdings"/>
          <w:sz w:val="16"/>
        </w:rPr>
        <w:sym w:font="Wingdings" w:char="f0e0"/>
      </w:r>
      <w:r>
        <w:rPr>
          <w:sz w:val="16"/>
        </w:rPr>
        <w:t xml:space="preserve"> </w:t>
      </w:r>
      <w:r>
        <w:rPr>
          <w:b/>
          <w:bCs/>
          <w:sz w:val="16"/>
        </w:rPr>
        <w:t>EDC</w:t>
      </w:r>
    </w:p>
    <w:p>
      <w:pPr>
        <w:pStyle w:val="Body"/>
        <w:spacing w:before="120" w:after="120"/>
        <w:ind w:hanging="645" w:start="1437" w:end="0"/>
        <w:jc w:val="both"/>
        <w:rPr>
          <w:b/>
          <w:bCs/>
          <w:sz w:val="16"/>
        </w:rPr>
      </w:pPr>
      <w:r>
        <w:rPr>
          <w:b/>
          <w:bCs/>
          <w:sz w:val="16"/>
        </w:rPr>
      </w:r>
    </w:p>
    <w:p>
      <w:pPr>
        <w:pStyle w:val="Body"/>
        <w:spacing w:before="120" w:after="120"/>
        <w:ind w:hanging="645" w:start="1437" w:end="0"/>
        <w:jc w:val="both"/>
        <w:rPr/>
      </w:pPr>
      <w:r>
        <w:rPr/>
        <w:t>1.</w:t>
        <w:tab/>
        <w:t>Customer contracts with EDC for a fixed volume of gas (a notional quantity) at a fixed price, and for any excess or underused gas at the AECO “C” Daily Index on the day of balancing (i.e. the balancing risk is held by the customer).</w:t>
      </w:r>
    </w:p>
    <w:p>
      <w:pPr>
        <w:pStyle w:val="Body"/>
        <w:numPr>
          <w:ilvl w:val="0"/>
          <w:numId w:val="3"/>
        </w:numPr>
        <w:spacing w:before="120" w:after="120"/>
        <w:jc w:val="both"/>
        <w:rPr/>
      </w:pPr>
      <w:r>
        <w:rPr/>
        <w:t xml:space="preserve">EDC purchases the fixed volume of gas from ECC at a fixed price.  </w:t>
      </w:r>
    </w:p>
    <w:p>
      <w:pPr>
        <w:pStyle w:val="Body"/>
        <w:numPr>
          <w:ilvl w:val="0"/>
          <w:numId w:val="3"/>
        </w:numPr>
        <w:spacing w:before="120" w:after="120"/>
        <w:jc w:val="both"/>
        <w:rPr/>
      </w:pPr>
      <w:r>
        <w:rPr/>
        <w:t>Balancing transactions occur daily at index between ECC and EDC as necessary.</w:t>
      </w:r>
    </w:p>
    <w:p>
      <w:pPr>
        <w:pStyle w:val="Body"/>
        <w:spacing w:before="120" w:after="120"/>
        <w:ind w:hanging="645" w:start="717" w:end="0"/>
        <w:jc w:val="both"/>
        <w:rPr>
          <w:b/>
          <w:bCs/>
        </w:rPr>
      </w:pPr>
      <w:r>
        <w:rPr>
          <w:b/>
          <w:bCs/>
        </w:rPr>
      </w:r>
    </w:p>
    <w:p>
      <w:pPr>
        <w:pStyle w:val="Body"/>
        <w:spacing w:before="120" w:after="120"/>
        <w:ind w:hanging="645" w:start="717" w:end="0"/>
        <w:jc w:val="both"/>
        <w:rPr>
          <w:b/>
          <w:bCs/>
        </w:rPr>
      </w:pPr>
      <w:r>
        <w:rPr>
          <w:b/>
          <w:bCs/>
        </w:rPr>
        <w:t>C.</w:t>
        <w:tab/>
        <w:t>Gas - Rate 13 (“All Requirements” or “Load Following” with Daily Balancing)</w:t>
      </w:r>
    </w:p>
    <w:p>
      <w:pPr>
        <w:pStyle w:val="Body"/>
        <w:spacing w:before="120" w:after="120"/>
        <w:jc w:val="both"/>
        <w:rPr/>
      </w:pPr>
      <w:r>
        <w:rPr/>
        <w:br/>
        <w:t>Original Transaction Structure:</w:t>
      </w:r>
    </w:p>
    <w:p>
      <w:pPr>
        <w:pStyle w:val="Body"/>
        <w:spacing w:before="120" w:after="120"/>
        <w:jc w:val="both"/>
        <w:rPr>
          <w:sz w:val="16"/>
        </w:rPr>
      </w:pPr>
      <w:r>
        <w:rPr>
          <w:b/>
          <w:bCs/>
          <w:sz w:val="16"/>
        </w:rPr>
        <w:t xml:space="preserve">ECC  </w:t>
      </w:r>
      <w:r>
        <w:rPr>
          <w:rFonts w:eastAsia="Wingdings" w:cs="Wingdings" w:ascii="Wingdings" w:hAnsi="Wingdings"/>
          <w:b/>
          <w:bCs/>
          <w:sz w:val="16"/>
        </w:rPr>
        <w:sym w:font="Wingdings" w:char="f0df"/>
      </w:r>
      <w:r>
        <w:rPr>
          <w:sz w:val="16"/>
        </w:rPr>
        <w:t xml:space="preserve"> Fixed Price, </w:t>
      </w:r>
      <w:r>
        <w:rPr>
          <w:sz w:val="16"/>
          <w:u w:val="single"/>
        </w:rPr>
        <w:t>including</w:t>
      </w:r>
      <w:r>
        <w:rPr>
          <w:sz w:val="16"/>
        </w:rPr>
        <w:t xml:space="preserve"> Balancing Risk Premium (“FP”) for Fixed Volume </w:t>
      </w:r>
      <w:r>
        <w:rPr>
          <w:rFonts w:eastAsia="Wingdings" w:cs="Wingdings" w:ascii="Wingdings" w:hAnsi="Wingdings"/>
          <w:b/>
          <w:bCs/>
          <w:sz w:val="16"/>
        </w:rPr>
        <w:sym w:font="Wingdings" w:char="f0e0"/>
      </w:r>
      <w:r>
        <w:rPr>
          <w:b/>
          <w:bCs/>
          <w:sz w:val="16"/>
        </w:rPr>
        <w:t xml:space="preserve"> EDC </w:t>
      </w:r>
      <w:r>
        <w:rPr>
          <w:rFonts w:eastAsia="Wingdings" w:cs="Wingdings" w:ascii="Wingdings" w:hAnsi="Wingdings"/>
          <w:b/>
          <w:bCs/>
          <w:sz w:val="16"/>
        </w:rPr>
        <w:sym w:font="Wingdings" w:char="f0df"/>
      </w:r>
      <w:r>
        <w:rPr>
          <w:sz w:val="16"/>
        </w:rPr>
        <w:t xml:space="preserve"> (FP +  Retail Margin) for Variable Volume </w:t>
      </w:r>
      <w:r>
        <w:rPr>
          <w:rFonts w:eastAsia="Wingdings" w:cs="Wingdings" w:ascii="Wingdings" w:hAnsi="Wingdings"/>
          <w:b/>
          <w:bCs/>
          <w:sz w:val="16"/>
        </w:rPr>
        <w:sym w:font="Wingdings" w:char="f0e0"/>
      </w:r>
      <w:r>
        <w:rPr>
          <w:b/>
          <w:bCs/>
          <w:sz w:val="16"/>
        </w:rPr>
        <w:t xml:space="preserve">  Customer</w:t>
      </w:r>
    </w:p>
    <w:p>
      <w:pPr>
        <w:pStyle w:val="Body"/>
        <w:spacing w:before="120" w:after="120"/>
        <w:jc w:val="both"/>
        <w:rPr/>
      </w:pPr>
      <w:r>
        <w:rPr/>
        <w:br/>
        <w:t>Balancing Transaction Structure:</w:t>
      </w:r>
    </w:p>
    <w:p>
      <w:pPr>
        <w:pStyle w:val="Body"/>
        <w:spacing w:before="120" w:after="120"/>
        <w:jc w:val="both"/>
        <w:rPr/>
      </w:pPr>
      <w:r>
        <w:rPr>
          <w:b/>
          <w:bCs/>
          <w:sz w:val="16"/>
        </w:rPr>
        <w:t xml:space="preserve">ECC </w:t>
      </w:r>
      <w:r>
        <w:rPr>
          <w:rFonts w:eastAsia="Wingdings" w:cs="Wingdings" w:ascii="Wingdings" w:hAnsi="Wingdings"/>
          <w:sz w:val="16"/>
        </w:rPr>
        <w:sym w:font="Wingdings" w:char="f0df"/>
      </w:r>
      <w:r>
        <w:rPr>
          <w:sz w:val="16"/>
        </w:rPr>
        <w:t xml:space="preserve"> FP for Balancing Volume </w:t>
      </w:r>
      <w:r>
        <w:rPr>
          <w:rFonts w:eastAsia="Wingdings" w:cs="Wingdings" w:ascii="Wingdings" w:hAnsi="Wingdings"/>
          <w:sz w:val="16"/>
        </w:rPr>
        <w:sym w:font="Wingdings" w:char="f0e0"/>
      </w:r>
      <w:r>
        <w:rPr>
          <w:sz w:val="16"/>
        </w:rPr>
        <w:t xml:space="preserve"> </w:t>
      </w:r>
      <w:r>
        <w:rPr>
          <w:b/>
          <w:bCs/>
          <w:sz w:val="16"/>
        </w:rPr>
        <w:t>EDC</w:t>
      </w:r>
    </w:p>
    <w:p>
      <w:pPr>
        <w:pStyle w:val="Body"/>
        <w:spacing w:before="120" w:after="120"/>
        <w:ind w:hanging="645" w:start="1437" w:end="0"/>
        <w:jc w:val="both"/>
        <w:rPr>
          <w:b/>
          <w:bCs/>
          <w:sz w:val="16"/>
        </w:rPr>
      </w:pPr>
      <w:r>
        <w:rPr>
          <w:b/>
          <w:bCs/>
          <w:sz w:val="16"/>
        </w:rPr>
      </w:r>
    </w:p>
    <w:p>
      <w:pPr>
        <w:pStyle w:val="Body"/>
        <w:spacing w:before="120" w:after="120"/>
        <w:ind w:hanging="645" w:start="1437" w:end="0"/>
        <w:jc w:val="both"/>
        <w:rPr/>
      </w:pPr>
      <w:r>
        <w:rPr/>
        <w:t>1.</w:t>
        <w:tab/>
        <w:t>Customer contracts with EDC for all requirements at a fixed price.</w:t>
      </w:r>
    </w:p>
    <w:p>
      <w:pPr>
        <w:pStyle w:val="Body"/>
        <w:numPr>
          <w:ilvl w:val="0"/>
          <w:numId w:val="2"/>
        </w:numPr>
        <w:tabs>
          <w:tab w:val="left" w:pos="1440" w:leader="none"/>
        </w:tabs>
        <w:spacing w:before="120" w:after="120"/>
        <w:ind w:hanging="630" w:start="1440" w:end="0"/>
        <w:jc w:val="both"/>
        <w:rPr/>
      </w:pPr>
      <w:r>
        <w:rPr/>
        <w:t>EDC backs the transaction for a fixed volume (based on the normalized (or estimated) volumes provided by ATCO) at a fixed price with ECC. ECC retains the balancing risk in exchange for a balancing risk premium imbedded in the fixed price.</w:t>
      </w:r>
    </w:p>
    <w:p>
      <w:pPr>
        <w:pStyle w:val="Body"/>
        <w:numPr>
          <w:ilvl w:val="0"/>
          <w:numId w:val="2"/>
        </w:numPr>
        <w:tabs>
          <w:tab w:val="left" w:pos="1440" w:leader="none"/>
        </w:tabs>
        <w:spacing w:before="120" w:after="120"/>
        <w:ind w:hanging="630" w:start="1440" w:end="0"/>
        <w:jc w:val="both"/>
        <w:rPr/>
      </w:pPr>
      <w:r>
        <w:rPr/>
        <w:t>Balancing transactions occur daily at the fixed price between ECC and EDC as necessary.</w:t>
      </w:r>
      <w:r>
        <w:br w:type="page"/>
      </w:r>
    </w:p>
    <w:p>
      <w:pPr>
        <w:pStyle w:val="Body"/>
        <w:spacing w:before="120" w:after="120"/>
        <w:ind w:start="792" w:end="0"/>
        <w:jc w:val="both"/>
        <w:rPr/>
      </w:pPr>
      <w:r>
        <w:rPr/>
      </w:r>
    </w:p>
    <w:p>
      <w:pPr>
        <w:pStyle w:val="Body"/>
        <w:spacing w:before="120" w:after="120"/>
        <w:ind w:hanging="648" w:start="720" w:end="0"/>
        <w:jc w:val="both"/>
        <w:rPr>
          <w:b/>
          <w:bCs/>
        </w:rPr>
      </w:pPr>
      <w:r>
        <w:rPr>
          <w:b/>
          <w:bCs/>
        </w:rPr>
        <w:t>D.</w:t>
        <w:tab/>
        <w:t>Electricity - Whether More or Less than 250 MWh (Fixed Volume only with Net Settlement Balancing through the Power Pool of Alberta (“PPoA”))</w:t>
      </w:r>
    </w:p>
    <w:p>
      <w:pPr>
        <w:pStyle w:val="Body"/>
        <w:spacing w:before="120" w:after="120"/>
        <w:ind w:start="90" w:end="0"/>
        <w:jc w:val="both"/>
        <w:rPr/>
      </w:pPr>
      <w:r>
        <w:rPr/>
        <w:br/>
        <w:t>Physical Bilateral:</w:t>
        <w:tab/>
      </w:r>
    </w:p>
    <w:p>
      <w:pPr>
        <w:pStyle w:val="Body"/>
        <w:spacing w:before="120" w:after="120"/>
        <w:jc w:val="both"/>
        <w:rPr/>
      </w:pPr>
      <w:r>
        <w:rPr>
          <w:b/>
          <w:bCs/>
          <w:sz w:val="16"/>
        </w:rPr>
        <w:t xml:space="preserve">ECC  </w:t>
      </w:r>
      <w:r>
        <w:rPr>
          <w:rFonts w:eastAsia="Wingdings" w:cs="Wingdings" w:ascii="Wingdings" w:hAnsi="Wingdings"/>
          <w:b/>
          <w:bCs/>
          <w:sz w:val="16"/>
        </w:rPr>
        <w:sym w:font="Wingdings" w:char="f0df"/>
      </w:r>
      <w:r>
        <w:rPr>
          <w:sz w:val="16"/>
        </w:rPr>
        <w:t xml:space="preserve"> Fixed Price, </w:t>
      </w:r>
      <w:r>
        <w:rPr>
          <w:sz w:val="16"/>
          <w:u w:val="single"/>
        </w:rPr>
        <w:t>no</w:t>
      </w:r>
      <w:r>
        <w:rPr>
          <w:sz w:val="16"/>
        </w:rPr>
        <w:t xml:space="preserve"> Balancing Risk Premium (“FP”) </w:t>
      </w:r>
      <w:r>
        <w:rPr>
          <w:rFonts w:eastAsia="Wingdings" w:cs="Wingdings" w:ascii="Wingdings" w:hAnsi="Wingdings"/>
          <w:b/>
          <w:bCs/>
          <w:sz w:val="16"/>
        </w:rPr>
        <w:sym w:font="Wingdings" w:char="f0e0"/>
      </w:r>
      <w:r>
        <w:rPr>
          <w:b/>
          <w:bCs/>
          <w:sz w:val="16"/>
        </w:rPr>
        <w:t xml:space="preserve"> EDC </w:t>
      </w:r>
      <w:r>
        <w:rPr>
          <w:rFonts w:eastAsia="Wingdings" w:cs="Wingdings" w:ascii="Wingdings" w:hAnsi="Wingdings"/>
          <w:b/>
          <w:bCs/>
          <w:sz w:val="16"/>
        </w:rPr>
        <w:sym w:font="Wingdings" w:char="f0df"/>
      </w:r>
      <w:r>
        <w:rPr>
          <w:sz w:val="16"/>
        </w:rPr>
        <w:t xml:space="preserve"> (FP + Retail Margin) for Fixed Volume and PPoA Price for Balancing Volume </w:t>
      </w:r>
      <w:r>
        <w:rPr>
          <w:rFonts w:eastAsia="Wingdings" w:cs="Wingdings" w:ascii="Wingdings" w:hAnsi="Wingdings"/>
          <w:b/>
          <w:bCs/>
          <w:sz w:val="16"/>
        </w:rPr>
        <w:sym w:font="Wingdings" w:char="f0e0"/>
      </w:r>
      <w:r>
        <w:rPr>
          <w:b/>
          <w:bCs/>
          <w:sz w:val="16"/>
        </w:rPr>
        <w:t xml:space="preserve">  Customer</w:t>
      </w:r>
    </w:p>
    <w:p>
      <w:pPr>
        <w:pStyle w:val="Body"/>
        <w:spacing w:before="120" w:after="120"/>
        <w:jc w:val="both"/>
        <w:rPr/>
      </w:pPr>
      <w:r>
        <w:rPr/>
        <w:br/>
        <w:t>Flow of Electricity:</w:t>
      </w:r>
    </w:p>
    <w:p>
      <w:pPr>
        <w:pStyle w:val="Body"/>
        <w:spacing w:before="120" w:after="120"/>
        <w:jc w:val="both"/>
        <w:rPr/>
      </w:pPr>
      <w:r>
        <w:rPr>
          <w:b/>
          <w:bCs/>
          <w:sz w:val="18"/>
        </w:rPr>
        <w:t xml:space="preserve">ECC  </w:t>
      </w:r>
      <w:r>
        <w:rPr>
          <w:rFonts w:eastAsia="Wingdings" w:cs="Wingdings" w:ascii="Wingdings" w:hAnsi="Wingdings"/>
          <w:b/>
          <w:bCs/>
          <w:sz w:val="18"/>
        </w:rPr>
        <w:sym w:font="Wingdings" w:char="f0df"/>
      </w:r>
      <w:r>
        <w:rPr>
          <w:sz w:val="18"/>
        </w:rPr>
        <w:t xml:space="preserve"> F</w:t>
      </w:r>
      <w:r>
        <w:rPr>
          <w:sz w:val="14"/>
        </w:rPr>
        <w:t xml:space="preserve">ixed Volume </w:t>
      </w:r>
      <w:r>
        <w:rPr>
          <w:rFonts w:eastAsia="Wingdings" w:cs="Wingdings" w:ascii="Wingdings" w:hAnsi="Wingdings"/>
          <w:b/>
          <w:bCs/>
          <w:sz w:val="18"/>
        </w:rPr>
        <w:sym w:font="Wingdings" w:char="f0e0"/>
      </w:r>
      <w:r>
        <w:rPr>
          <w:b/>
          <w:bCs/>
          <w:sz w:val="18"/>
        </w:rPr>
        <w:t xml:space="preserve"> </w:t>
      </w:r>
      <w:r>
        <w:rPr>
          <w:sz w:val="18"/>
        </w:rPr>
        <w:t>PPoA</w:t>
      </w:r>
      <w:r>
        <w:rPr>
          <w:b/>
          <w:bCs/>
          <w:sz w:val="18"/>
        </w:rPr>
        <w:t xml:space="preserve"> </w:t>
      </w:r>
      <w:r>
        <w:rPr>
          <w:rFonts w:eastAsia="Wingdings" w:cs="Wingdings" w:ascii="Wingdings" w:hAnsi="Wingdings"/>
          <w:b/>
          <w:bCs/>
          <w:sz w:val="18"/>
        </w:rPr>
        <w:sym w:font="Wingdings" w:char="f0e0"/>
      </w:r>
      <w:r>
        <w:rPr>
          <w:b/>
          <w:bCs/>
          <w:sz w:val="18"/>
        </w:rPr>
        <w:t xml:space="preserve"> </w:t>
      </w:r>
      <w:r>
        <w:rPr>
          <w:sz w:val="16"/>
        </w:rPr>
        <w:t xml:space="preserve">Fixed Volume and Balancing Volume by Net Settlement at PPoA Price </w:t>
      </w:r>
      <w:r>
        <w:rPr>
          <w:rFonts w:eastAsia="Wingdings" w:cs="Wingdings" w:ascii="Wingdings" w:hAnsi="Wingdings"/>
          <w:b/>
          <w:bCs/>
          <w:sz w:val="18"/>
        </w:rPr>
        <w:sym w:font="Wingdings" w:char="f0e0"/>
      </w:r>
      <w:r>
        <w:rPr>
          <w:b/>
          <w:bCs/>
          <w:sz w:val="18"/>
        </w:rPr>
        <w:t xml:space="preserve"> EDC </w:t>
      </w:r>
    </w:p>
    <w:p>
      <w:pPr>
        <w:pStyle w:val="Body"/>
        <w:spacing w:before="120" w:after="120"/>
        <w:ind w:firstLine="648" w:start="789" w:end="0"/>
        <w:jc w:val="both"/>
        <w:rPr>
          <w:rFonts w:eastAsia="Arial"/>
          <w:b/>
          <w:bCs/>
          <w:sz w:val="18"/>
        </w:rPr>
      </w:pPr>
      <w:r>
        <w:rPr>
          <w:rFonts w:eastAsia="Arial"/>
          <w:b/>
          <w:bCs/>
          <w:sz w:val="18"/>
        </w:rPr>
        <w:t xml:space="preserve"> </w:t>
      </w:r>
    </w:p>
    <w:p>
      <w:pPr>
        <w:pStyle w:val="Body"/>
        <w:spacing w:before="120" w:after="120"/>
        <w:ind w:hanging="645" w:start="1437" w:end="0"/>
        <w:jc w:val="both"/>
        <w:rPr/>
      </w:pPr>
      <w:r>
        <w:rPr/>
        <w:t>1.</w:t>
        <w:tab/>
        <w:t xml:space="preserve">Customer contracts with EDC for a fixed volume of electricity (a notional quantity) at a fixed price, and for any excess or underused power at the PPoA Price (i.e. the balancing risk is held by the customer).  </w:t>
        <w:br/>
        <w:t>[</w:t>
      </w:r>
      <w:r>
        <w:rPr>
          <w:b/>
          <w:bCs/>
        </w:rPr>
        <w:t>Note</w:t>
      </w:r>
      <w:r>
        <w:rPr/>
        <w:t>:  The standard form of contract states that EDC only credits the customer at 98% of the PPoA Price for underused electricity sold but charges the customer 102% of the PPoA Price for overused electricity bought on behalf of the customer.]</w:t>
      </w:r>
    </w:p>
    <w:p>
      <w:pPr>
        <w:pStyle w:val="Body"/>
        <w:numPr>
          <w:ilvl w:val="0"/>
          <w:numId w:val="4"/>
        </w:numPr>
        <w:spacing w:before="120" w:after="120"/>
        <w:jc w:val="both"/>
        <w:rPr/>
      </w:pPr>
      <w:r>
        <w:rPr/>
        <w:t>EDC purchases the fixed volume of power from ECC under a physical bilateral, with deliveries and receipts scheduled through the PPoA.</w:t>
      </w:r>
    </w:p>
    <w:p>
      <w:pPr>
        <w:pStyle w:val="Body"/>
        <w:numPr>
          <w:ilvl w:val="0"/>
          <w:numId w:val="4"/>
        </w:numPr>
        <w:tabs>
          <w:tab w:val="left" w:pos="720" w:leader="none"/>
          <w:tab w:val="left" w:pos="810" w:leader="none"/>
        </w:tabs>
        <w:spacing w:before="120" w:after="120"/>
        <w:jc w:val="both"/>
        <w:rPr/>
      </w:pPr>
      <w:r>
        <w:rPr/>
        <w:t>Balancing transactions occur hourly at PPoA price between EDC and the PPoA as necessary pursuant to the PPoA net settlement rules.</w:t>
      </w:r>
    </w:p>
    <w:p>
      <w:pPr>
        <w:pStyle w:val="Body"/>
        <w:tabs>
          <w:tab w:val="left" w:pos="720" w:leader="none"/>
          <w:tab w:val="left" w:pos="810" w:leader="none"/>
        </w:tabs>
        <w:spacing w:before="120" w:after="120"/>
        <w:jc w:val="both"/>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/mnt/main-storage/datasets/enron-docs/doc/Proposed_Agenda___May_25.Att_4.doc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/mnt/main-storage/datasets/enron-docs/doc/Proposed_Agenda___May_25.Att_4.doc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t>May 18, 2001</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152"/>
        </w:tabs>
        <w:ind w:start="1152" w:hanging="360"/>
      </w:pPr>
      <w:rPr/>
    </w:lvl>
  </w:abstractNum>
  <w:abstractNum w:abstractNumId="3">
    <w:lvl w:ilvl="0">
      <w:start w:val="2"/>
      <w:numFmt w:val="decimal"/>
      <w:lvlText w:val="%1."/>
      <w:lvlJc w:val="start"/>
      <w:pPr>
        <w:tabs>
          <w:tab w:val="num" w:pos="1437"/>
        </w:tabs>
        <w:ind w:start="1437" w:hanging="645"/>
      </w:pPr>
      <w:rPr/>
    </w:lvl>
  </w:abstractNum>
  <w:abstractNum w:abstractNumId="4">
    <w:lvl w:ilvl="0">
      <w:start w:val="2"/>
      <w:numFmt w:val="decimal"/>
      <w:lvlText w:val="%1."/>
      <w:lvlJc w:val="start"/>
      <w:pPr>
        <w:tabs>
          <w:tab w:val="num" w:pos="1437"/>
        </w:tabs>
        <w:ind w:start="1437" w:hanging="645"/>
      </w:pPr>
      <w:rPr/>
    </w:lvl>
  </w:abstractNum>
  <w:abstractNum w:abstractNumId="5">
    <w:lvl w:ilvl="0">
      <w:start w:val="1"/>
      <w:numFmt w:val="lowerRoman"/>
      <w:lvlText w:val="%1."/>
      <w:lvlJc w:val="start"/>
      <w:pPr>
        <w:tabs>
          <w:tab w:val="num" w:pos="792"/>
        </w:tabs>
        <w:ind w:start="792" w:hanging="720"/>
      </w:pPr>
      <w:rPr/>
    </w:lvl>
    <w:lvl w:ilvl="1">
      <w:start w:val="1"/>
      <w:numFmt w:val="decimal"/>
      <w:lvlText w:val="%2."/>
      <w:lvlJc w:val="start"/>
      <w:pPr>
        <w:tabs>
          <w:tab w:val="num" w:pos="1512"/>
        </w:tabs>
        <w:ind w:start="1512" w:hanging="720"/>
      </w:pPr>
      <w:rPr/>
    </w:lvl>
    <w:lvl w:ilvl="2">
      <w:start w:val="1"/>
      <w:numFmt w:val="lowerRoman"/>
      <w:lvlText w:val="%3."/>
      <w:lvlJc w:val="end"/>
      <w:pPr>
        <w:tabs>
          <w:tab w:val="num" w:pos="1872"/>
        </w:tabs>
        <w:ind w:start="1872" w:hanging="180"/>
      </w:pPr>
    </w:lvl>
    <w:lvl w:ilvl="3">
      <w:start w:val="1"/>
      <w:numFmt w:val="lowerLetter"/>
      <w:lvlText w:val="(%4)"/>
      <w:lvlJc w:val="start"/>
      <w:pPr>
        <w:tabs>
          <w:tab w:val="num" w:pos="2952"/>
        </w:tabs>
        <w:ind w:start="2952" w:hanging="720"/>
      </w:pPr>
      <w:r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8z1">
    <w:name w:val="WW8Num8z1"/>
    <w:qFormat/>
    <w:rPr>
      <w:rFonts w:ascii="Times New Roman" w:hAnsi="Times New Roman" w:eastAsia="Times New Roman" w:cs="Times New Roman"/>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2001-05-24T18:38:00Z</dcterms:created>
  <dc:creator>ncappel</dc:creator>
  <dc:description/>
  <dc:language>en-CA</dc:language>
  <cp:lastModifiedBy>scrawfo3</cp:lastModifiedBy>
  <cp:lastPrinted>2001-05-24T14:27:00Z</cp:lastPrinted>
  <dcterms:modified xsi:type="dcterms:W3CDTF">2001-05-24T18:39:00Z</dcterms:modified>
  <cp:revision>3</cp:revision>
  <dc:subject/>
  <dc:title>Eron Capital &amp; Trade Resources Memo</dc:title>
</cp:coreProperties>
</file>