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May 24, 2001</w:t>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Sasquatch</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by EES Canada of Canadian Utilities Retail Gas and Power Business.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of TransCanada's gas and/or power marketing business.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acquisition of CanEnerco's gas marketing business as a "loss" company.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Canary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Proposed transmission by-pass and power supply arrangement to TransAlta's Highvale Coal Mine.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Project Redford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Potential sale or origination transactions with market participants for the PPA.  Meetings have been held.  Counterparties conducting commercial due diligence.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Petro-Canada Outsourcing Arrangement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Eric LeDain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5-year term extension and fee restructuring.  Letter agreement executed.  Redrafting Outsourcing Agreement.  Awaiting finalization of "incentive fee" negotiations.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Numerous ongoing activities respecting monetization structures, regulatory and market rule issues, system access and transmission issues, market surveillance, Change of Law insurance, operational, environmental and billing issues with TAU, etc.</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  Negotiating extension of market opening condition precedent to December, 2002.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48 MW, 3-year contract executed with IVACO.</w:t>
            </w:r>
          </w:p>
          <w:p>
            <w:pPr>
              <w:pStyle w:val="Normal"/>
              <w:jc w:val="both"/>
              <w:rPr>
                <w:rFonts w:ascii="Arial" w:hAnsi="Arial" w:cs="Arial"/>
              </w:rPr>
            </w:pPr>
            <w:r>
              <w:rPr>
                <w:rFonts w:cs="Arial" w:ascii="Arial" w:hAnsi="Arial"/>
              </w:rPr>
              <w:t>Commenced negotiations with Royal Technologies (50 MW); Casco Inc. (11 MW), Domtar (20+ MW), Terra (10 MW) and Atlantic Packaging (30+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2 large Ontario Municipal Electrical Utilities.  Enron Canada to provide services and exclusive wholesale electricity supply.  Enron Canada to take either a 60% equity share in the G-6 or 20% equity interest with option to acquire an additional 30%.  Definitive Agreements being negotiated.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Commencing on Ontario Market Opening (Projected for May, 2002)</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  Negotiating market opening extension.  Once extended, a marketing campaign to resign MEUs will commence.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Closed funding and structuring of Advanced Mobile Power Systems, with ENA obtaining an 85% interest.  Vendor contracts regarding the supply of various components to complete the manufacture of one beta unit by July 2001 have all been executed and manufacturing is proceeding as expected.  Currently marketing test unit and beta unit for sale.  Ongoing legal review of all marketing, employment and contractual documentation.  Enron has agreed to provide legal services to AMPS for the first six months of its operation, which services agreement expires August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Conducting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Darren Cross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and electricity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Asset transferred to Enron Global Markets.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Completed May 22,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2nd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Cadillac Fairview, Magna, Terra and Ivaco.  Executed Agreement with Sunoco (3 yr. term).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 $.05 ($2.5MM) dividend anticipated for Q2 or Q3,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June 30,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Actual assignments to satisfy conditions precedent to assignment of long-term transportation capacity from Shell to Sierra through ECC/ENA complete. Negotiating amendments allowing for modification of one component of assignments to allow Shell to permanently assign component to a 3</w:t>
            </w:r>
            <w:r>
              <w:rPr>
                <w:rFonts w:cs="Arial" w:ascii="Arial" w:hAnsi="Arial"/>
                <w:vertAlign w:val="superscript"/>
              </w:rPr>
              <w:t>rd</w:t>
            </w:r>
            <w:r>
              <w:rPr>
                <w:rFonts w:cs="Arial" w:ascii="Arial" w:hAnsi="Arial"/>
              </w:rPr>
              <w:t xml:space="preserve"> Party.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Energy Services Canada Co.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Scott Campbell</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Continuance and reorganization of EES Canada Co. Ltd., restructuring of Enron Direct Limited Partnership, review of existing contractual obligations of EES Canada Co. Ltd.  Processing assignments/transfers/re-issuances, etc. relating to the foregoing.</w:t>
            </w:r>
          </w:p>
        </w:tc>
      </w:tr>
      <w:tr>
        <w:trPr/>
        <w:tc>
          <w:tcPr>
            <w:tcW w:w="217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Forms</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Mary Cook</w:t>
            </w:r>
          </w:p>
        </w:tc>
        <w:tc>
          <w:tcPr>
            <w:tcW w:w="1890" w:type="dxa"/>
            <w:tcBorders>
              <w:top w:val="single" w:sz="4" w:space="0" w:color="000000"/>
              <w:start w:val="single" w:sz="4" w:space="0" w:color="000000"/>
              <w:bottom w:val="dashSmallGap" w:sz="8" w:space="0" w:color="000000"/>
              <w:end w:val="single" w:sz="4" w:space="0" w:color="000000"/>
            </w:tcBorders>
          </w:tcPr>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dashSmallGap" w:sz="8" w:space="0" w:color="000000"/>
              <w:end w:val="single" w:sz="4" w:space="0" w:color="000000"/>
            </w:tcBorders>
          </w:tcPr>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w:t>
            </w:r>
          </w:p>
        </w:tc>
        <w:tc>
          <w:tcPr>
            <w:tcW w:w="5490" w:type="dxa"/>
            <w:tcBorders>
              <w:top w:val="single" w:sz="4" w:space="0" w:color="000000"/>
              <w:start w:val="single" w:sz="4" w:space="0" w:color="000000"/>
              <w:bottom w:val="dashSmallGap" w:sz="8"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Prepared a form of one-off physical power supply agreement, based upon our Canadian form of Master Agreement.</w:t>
            </w:r>
          </w:p>
          <w:p>
            <w:pPr>
              <w:pStyle w:val="Header"/>
              <w:tabs>
                <w:tab w:val="clear" w:pos="4320"/>
                <w:tab w:val="clear" w:pos="8640"/>
              </w:tabs>
              <w:jc w:val="both"/>
              <w:rPr>
                <w:rFonts w:ascii="Arial" w:hAnsi="Arial" w:cs="Arial"/>
              </w:rPr>
            </w:pPr>
            <w:r>
              <w:rPr>
                <w:rFonts w:cs="Arial" w:ascii="Arial" w:hAnsi="Arial"/>
              </w:rPr>
              <w:t>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jc w:val="both"/>
              <w:rPr>
                <w:rFonts w:ascii="Arial" w:hAnsi="Arial" w:cs="Arial"/>
              </w:rPr>
            </w:pPr>
            <w:r>
              <w:rPr>
                <w:rFonts w:cs="Arial" w:ascii="Arial" w:hAnsi="Arial"/>
              </w:rPr>
              <w:t>Completed physical gas and power forms for Enron Direct Canada.</w:t>
            </w:r>
          </w:p>
          <w:p>
            <w:pPr>
              <w:pStyle w:val="Header"/>
              <w:tabs>
                <w:tab w:val="clear" w:pos="4320"/>
                <w:tab w:val="clear" w:pos="8640"/>
              </w:tabs>
              <w:jc w:val="both"/>
              <w:rPr>
                <w:rFonts w:ascii="Arial" w:hAnsi="Arial" w:cs="Arial"/>
              </w:rPr>
            </w:pPr>
            <w:r>
              <w:rPr>
                <w:rFonts w:cs="Arial" w:ascii="Arial" w:hAnsi="Arial"/>
              </w:rPr>
              <w:t>Financial trading within Enron Direct Canada under consideration.</w:t>
            </w:r>
          </w:p>
          <w:p>
            <w:pPr>
              <w:pStyle w:val="Header"/>
              <w:tabs>
                <w:tab w:val="clear" w:pos="4320"/>
                <w:tab w:val="clear" w:pos="8640"/>
              </w:tabs>
              <w:jc w:val="both"/>
              <w:rPr>
                <w:rFonts w:ascii="Arial" w:hAnsi="Arial" w:cs="Arial"/>
              </w:rPr>
            </w:pPr>
            <w:r>
              <w:rPr>
                <w:rFonts w:cs="Arial" w:ascii="Arial" w:hAnsi="Arial"/>
              </w:rPr>
              <w:t>Global customization of set-off language under consideration.</w:t>
            </w:r>
          </w:p>
        </w:tc>
      </w:tr>
      <w:tr>
        <w:trPr/>
        <w:tc>
          <w:tcPr>
            <w:tcW w:w="217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dashSmallGap" w:sz="8"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dashSmallGap" w:sz="8"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dashSmallGap" w:sz="8"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physical (power) master agreement with committee of Ontario market participants based on EEI form.</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Complaint filed and meeting held with Market Surveillance Administrator regarding the Balancing Pool’s Clover Bar offer strategy (Peter Keohane).  No response yet.</w:t>
      </w:r>
    </w:p>
    <w:p>
      <w:pPr>
        <w:pStyle w:val="Normal"/>
        <w:numPr>
          <w:ilvl w:val="0"/>
          <w:numId w:val="1"/>
        </w:numPr>
        <w:jc w:val="both"/>
        <w:rPr>
          <w:rFonts w:ascii="Arial" w:hAnsi="Arial" w:cs="Arial"/>
        </w:rPr>
      </w:pPr>
      <w:r>
        <w:rPr>
          <w:rFonts w:cs="Arial" w:ascii="Arial" w:hAnsi="Arial"/>
        </w:rPr>
        <w:t>Competition Law Seminar – Completed for Calgary, December 4, 2000; completed for Toronto, May, 2001 (Peter Keohane/Chris Gaffney).</w:t>
      </w:r>
    </w:p>
    <w:p>
      <w:pPr>
        <w:pStyle w:val="Normal"/>
        <w:numPr>
          <w:ilvl w:val="0"/>
          <w:numId w:val="1"/>
        </w:numPr>
        <w:jc w:val="both"/>
        <w:rPr>
          <w:rFonts w:ascii="Arial" w:hAnsi="Arial" w:cs="Arial"/>
          <w:sz w:val="22"/>
        </w:rPr>
      </w:pPr>
      <w:r>
        <w:rPr>
          <w:rFonts w:cs="Arial" w:ascii="Arial" w:hAnsi="Arial"/>
        </w:rPr>
        <w:t>NGX/Canadian Enerdata litigation (Peter Keohane) – Settled.  Systems implementation in process.</w:t>
      </w:r>
    </w:p>
    <w:sectPr>
      <w:headerReference w:type="default" r:id="rId2"/>
      <w:headerReference w:type="first" r:id="rId3"/>
      <w:footerReference w:type="default" r:id="rId4"/>
      <w:footerReference w:type="first" r:id="rId5"/>
      <w:type w:val="nextPage"/>
      <w:pgSz w:orient="landscape" w:w="15840" w:h="12240"/>
      <w:pgMar w:left="1440" w:right="1440" w:gutter="0" w:header="720" w:top="77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/mnt/main-storage/datasets/enron-docs/doc/Proposed_Agenda___May_25.Att_1.doc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/mnt/main-storage/datasets/enron-docs/doc/Proposed_Agenda___May_25.Att_1.doc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jc w:val="end"/>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6480" w:leader="none"/>
        <w:tab w:val="right" w:pos="129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2001-05-24T18:43:00Z</dcterms:created>
  <dc:creator>Linda Sietzema</dc:creator>
  <dc:description/>
  <dc:language>en-CA</dc:language>
  <cp:lastModifiedBy>scrawfo3</cp:lastModifiedBy>
  <cp:lastPrinted>2001-05-24T12:34:00Z</cp:lastPrinted>
  <dcterms:modified xsi:type="dcterms:W3CDTF">2001-05-24T18:43:00Z</dcterms:modified>
  <cp:revision>2</cp:revision>
  <dc:subject/>
  <dc:title>Legal Transaction Status Report – Enron NA</dc:title>
</cp:coreProperties>
</file>