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20"/>
        <w:ind w:hanging="0" w:start="0"/>
        <w:jc w:val="center"/>
        <w:rPr>
          <w:rFonts w:ascii="Arial" w:hAnsi="Arial" w:eastAsia="Arial" w:cs="Arial"/>
          <w:color w:val="008080"/>
          <w:sz w:val="28"/>
          <w:szCs w:val="28"/>
          <w:u w:val="none"/>
        </w:rPr>
      </w:pPr>
      <w:r>
        <w:rPr>
          <w:rFonts w:eastAsia="Arial" w:cs="Arial" w:ascii="Arial" w:hAnsi="Arial"/>
          <w:color w:val="008080"/>
          <w:sz w:val="28"/>
          <w:szCs w:val="28"/>
          <w:u w:val="none"/>
        </w:rPr>
        <w:t>PROPOSED AGENDA</w:t>
      </w:r>
    </w:p>
    <w:p>
      <w:pPr>
        <w:pStyle w:val="Heading1"/>
        <w:spacing w:before="0" w:after="120"/>
        <w:ind w:hanging="0" w:start="0"/>
        <w:jc w:val="center"/>
        <w:rPr>
          <w:rFonts w:ascii="Arial" w:hAnsi="Arial" w:eastAsia="Arial" w:cs="Arial"/>
          <w:color w:val="008080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-391795</wp:posOffset>
                </wp:positionH>
                <wp:positionV relativeFrom="page">
                  <wp:posOffset>594360</wp:posOffset>
                </wp:positionV>
                <wp:extent cx="6725920" cy="88392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725880" cy="8839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30.85pt;margin-top:46.8pt;width:529.55pt;height:695.95pt;mso-wrap-style:none;v-text-anchor:middle;mso-position-vertical-relative:page">
                <v:fill o:detectmouseclick="t" on="false"/>
                <v:stroke color="teal" weight="9360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008080"/>
          <w:sz w:val="28"/>
          <w:szCs w:val="28"/>
        </w:rPr>
        <w:t>PLANNING &amp; VALUATION / DISTRIBUTION WHEELING</w:t>
      </w:r>
    </w:p>
    <w:p>
      <w:pPr>
        <w:pStyle w:val="BodyText"/>
        <w:rPr>
          <w:rFonts w:ascii="Times New Roman" w:hAnsi="Times New Roman" w:eastAsia="Times New Roman" w:cs="Times New Roman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April 24, 2000  </w:t>
      </w:r>
    </w:p>
    <w:p>
      <w:pPr>
        <w:pStyle w:val="BodyText"/>
        <w:rPr>
          <w:rFonts w:ascii="Times New Roman" w:hAnsi="Times New Roman" w:eastAsia="Times New Roman" w:cs="Times New Roman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9:30 a.m. –  4:30 p.m.</w:t>
      </w:r>
    </w:p>
    <w:p>
      <w:pPr>
        <w:pStyle w:val="Heading2"/>
        <w:ind w:hanging="0" w:start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980 Ninth Street, at J Street  </w:t>
      </w:r>
      <w:r>
        <w:rPr>
          <w:rFonts w:eastAsia="Times New Roman" w:cs="Times New Roman" w:ascii="Times New Roman" w:hAnsi="Times New Roman"/>
          <w:b w:val="false"/>
          <w:bCs w:val="false"/>
          <w:color w:val="808080"/>
          <w:sz w:val="16"/>
          <w:szCs w:val="16"/>
        </w:rPr>
        <w:t xml:space="preserve"> </w:t>
      </w:r>
      <w:r>
        <w:rPr>
          <w:rFonts w:eastAsia="Monotype Sorts;Symbol" w:cs="Monotype Sorts;Symbol" w:ascii="Monotype Sorts;Symbol" w:hAnsi="Monotype Sorts;Symbol"/>
          <w:b w:val="false"/>
          <w:bCs w:val="false"/>
          <w:color w:val="808080"/>
          <w:sz w:val="16"/>
          <w:szCs w:val="16"/>
        </w:rPr>
        <w:sym w:font="Monotype Sorts;Symbol" w:char="75"/>
      </w:r>
      <w:r>
        <w:rPr>
          <w:rFonts w:eastAsia="Times New Roman" w:cs="Times New Roman" w:ascii="Times New Roman" w:hAnsi="Times New Roman"/>
          <w:b w:val="false"/>
          <w:bCs w:val="false"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</w:rPr>
        <w:t xml:space="preserve">  Sacramento   </w:t>
      </w:r>
      <w:r>
        <w:rPr>
          <w:rFonts w:eastAsia="Monotype Sorts;Symbol" w:cs="Monotype Sorts;Symbol" w:ascii="Monotype Sorts;Symbol" w:hAnsi="Monotype Sorts;Symbol"/>
          <w:b w:val="false"/>
          <w:bCs w:val="false"/>
          <w:color w:val="808080"/>
          <w:sz w:val="16"/>
          <w:szCs w:val="16"/>
        </w:rPr>
        <w:sym w:font="Monotype Sorts;Symbol" w:char="75"/>
      </w:r>
      <w:r>
        <w:rPr>
          <w:rFonts w:eastAsia="Times New Roman" w:cs="Times New Roman" w:ascii="Times New Roman" w:hAnsi="Times New Roman"/>
          <w:b w:val="false"/>
          <w:bCs w:val="false"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</w:rPr>
        <w:t xml:space="preserve">  Suite 2200</w:t>
      </w:r>
    </w:p>
    <w:p>
      <w:pPr>
        <w:pStyle w:val="BodyText"/>
        <w:spacing w:before="0" w:after="2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BodyText"/>
        <w:spacing w:before="0" w:after="20"/>
        <w:rPr/>
      </w:pPr>
      <w:r>
        <w:rPr/>
      </w:r>
    </w:p>
    <w:p>
      <w:pPr>
        <w:pStyle w:val="Heading3"/>
        <w:ind w:hanging="0" w:start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  <w:t>EXPECTED ATTENDEES</w:t>
      </w:r>
    </w:p>
    <w:p>
      <w:pPr>
        <w:pStyle w:val="Normal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tbl>
      <w:tblPr>
        <w:tblW w:w="864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0"/>
        <w:gridCol w:w="4770"/>
      </w:tblGrid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Caterpillar Gas Engines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– – –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California Manufacturers’ Association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Dorothy Rothrock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Distributed Power Coalition of America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John Nimmons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ENRON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Bruno Gaillard &amp; Bob Frank, Tom Hoatson by phone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New Energy Technologies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Dave Townley, Aaron Thomas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Pacific Gas &amp; Electric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Dave Rubin, Randy Litteneker, </w:t>
              <w:softHyphen/>
              <w:softHyphen/>
              <w:softHyphen/>
              <w:softHyphen/>
              <w:softHyphen/>
              <w:softHyphen/>
              <w:softHyphen/>
              <w:t>_______ ? alv_______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San Diego Gas &amp; Electric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Vic Romero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Sempra Energy 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Joe Kloberdanz, Mark Ward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Southern California Edison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Manuel Alvarez</w:t>
            </w:r>
          </w:p>
        </w:tc>
      </w:tr>
      <w:tr>
        <w:trPr>
          <w:trHeight w:val="320" w:hRule="atLeast"/>
        </w:trPr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Southern California Gas</w:t>
            </w:r>
          </w:p>
        </w:tc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2880" w:leader="none"/>
                <w:tab w:val="left" w:pos="6120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Rod Hite</w:t>
            </w:r>
          </w:p>
        </w:tc>
      </w:tr>
    </w:tbl>
    <w:p>
      <w:pPr>
        <w:pStyle w:val="Caption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ption"/>
        <w:rPr/>
      </w:pPr>
      <w:r>
        <w:rPr/>
        <w:t>AGENDA</w:t>
      </w:r>
    </w:p>
    <w:tbl>
      <w:tblPr>
        <w:tblW w:w="981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7110"/>
        <w:gridCol w:w="1440"/>
      </w:tblGrid>
      <w:tr>
        <w:trPr>
          <w:trHeight w:val="198" w:hRule="atLeast"/>
        </w:trPr>
        <w:tc>
          <w:tcPr>
            <w:tcW w:w="1260" w:type="dxa"/>
            <w:tcBorders/>
          </w:tcPr>
          <w:p>
            <w:pPr>
              <w:pStyle w:val="Heading5"/>
              <w:snapToGrid w:val="false"/>
              <w:ind w:hanging="0" w:start="0"/>
              <w:jc w:val="start"/>
              <w:rPr>
                <w:b/>
                <w:bCs/>
                <w:caps/>
                <w:sz w:val="20"/>
                <w:szCs w:val="20"/>
                <w:u w:val="none"/>
              </w:rPr>
            </w:pPr>
            <w:r>
              <w:rPr>
                <w:b/>
                <w:bCs/>
                <w:caps/>
                <w:sz w:val="20"/>
                <w:szCs w:val="20"/>
                <w:u w:val="none"/>
              </w:rPr>
            </w:r>
          </w:p>
        </w:tc>
        <w:tc>
          <w:tcPr>
            <w:tcW w:w="7110" w:type="dxa"/>
            <w:tcBorders/>
          </w:tcPr>
          <w:p>
            <w:pPr>
              <w:pStyle w:val="Heading5"/>
              <w:ind w:hanging="0" w:start="0"/>
              <w:jc w:val="start"/>
              <w:rPr/>
            </w:pPr>
            <w:r>
              <w:rPr>
                <w:b/>
                <w:bCs/>
                <w:caps/>
                <w:sz w:val="20"/>
                <w:szCs w:val="20"/>
                <w:u w:val="none"/>
              </w:rPr>
              <w:tab/>
            </w:r>
            <w:r>
              <w:rPr>
                <w:rFonts w:eastAsia="Arial" w:cs="Arial" w:ascii="Arial" w:hAnsi="Arial"/>
                <w:b/>
                <w:bCs/>
                <w:caps/>
                <w:sz w:val="20"/>
                <w:szCs w:val="20"/>
                <w:u w:val="none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caps/>
                <w:sz w:val="20"/>
                <w:szCs w:val="20"/>
              </w:rPr>
              <w:t>Topic</w:t>
            </w:r>
          </w:p>
        </w:tc>
        <w:tc>
          <w:tcPr>
            <w:tcW w:w="1440" w:type="dxa"/>
            <w:tcBorders/>
          </w:tcPr>
          <w:p>
            <w:pPr>
              <w:pStyle w:val="Heading4"/>
              <w:ind w:hanging="0" w:start="0"/>
              <w:jc w:val="center"/>
              <w:rPr>
                <w:rFonts w:ascii="Arial" w:hAnsi="Arial" w:eastAsia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aps/>
                <w:sz w:val="20"/>
                <w:szCs w:val="20"/>
              </w:rPr>
              <w:t>Lead</w:t>
            </w:r>
          </w:p>
        </w:tc>
      </w:tr>
      <w:tr>
        <w:trPr>
          <w:trHeight w:val="80" w:hRule="exact"/>
        </w:trPr>
        <w:tc>
          <w:tcPr>
            <w:tcW w:w="126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eastAsia="Arial" w:cs="Arial"/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rFonts w:eastAsia="Arial" w:cs="Arial" w:ascii="Arial" w:hAnsi="Arial"/>
                <w:b/>
                <w:bCs/>
                <w:caps/>
                <w:sz w:val="20"/>
                <w:szCs w:val="20"/>
                <w:u w:val="single"/>
              </w:rPr>
            </w:r>
          </w:p>
        </w:tc>
        <w:tc>
          <w:tcPr>
            <w:tcW w:w="7110" w:type="dxa"/>
            <w:tcBorders/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spacing w:before="120" w:after="0"/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9:30-9:45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Introductions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John Nimmons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spacing w:before="120" w:after="0"/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9:45-10:00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Today’s objectives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All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spacing w:before="120" w:after="0"/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10:00-10:30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Recap of April 18 progress on ownership &amp; control issues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John Nimmons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spacing w:before="120" w:after="0"/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10:30-12:00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spacing w:before="120" w:after="120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Planning &amp; valuation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972" w:start="1231" w:end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Outstanding issues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972" w:start="1231" w:end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Party positions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972" w:start="1231" w:end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Discussion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before="120" w:after="120"/>
              <w:jc w:val="e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before="0" w:after="120"/>
              <w:ind w:start="-115" w:end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Joe Kloberdanz </w:t>
            </w:r>
          </w:p>
          <w:p>
            <w:pPr>
              <w:pStyle w:val="Normal"/>
              <w:spacing w:before="6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All</w:t>
            </w:r>
          </w:p>
          <w:p>
            <w:pPr>
              <w:pStyle w:val="Normal"/>
              <w:spacing w:before="12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All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12:00-1:00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spacing w:before="120" w:after="120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Lunch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spacing w:before="12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spacing w:before="120" w:after="0"/>
              <w:ind w:hanging="0" w:start="-115" w:end="-115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1:00-4:00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spacing w:before="120" w:after="120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Distribution wheeling (sales of excess DG capacity)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972" w:start="1231" w:end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Framing the issue: what </w:t>
            </w: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</w:rPr>
              <w:t>is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‘unbundled distribution wheeling service’ ?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972" w:start="1231" w:end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Filed positions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20"/>
              <w:ind w:hanging="972" w:start="1231" w:end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Discussion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All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4:00-4:15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tabs>
                <w:tab w:val="clear" w:pos="720"/>
                <w:tab w:val="left" w:pos="522" w:leader="none"/>
              </w:tabs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Today’s conclusions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All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spacing w:before="60" w:after="0"/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4:15-4:30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spacing w:before="60" w:after="0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Planning for next meeting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before="8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All</w:t>
            </w:r>
          </w:p>
        </w:tc>
      </w:tr>
      <w:tr>
        <w:trPr>
          <w:trHeight w:val="500" w:hRule="atLeast"/>
        </w:trPr>
        <w:tc>
          <w:tcPr>
            <w:tcW w:w="1260" w:type="dxa"/>
            <w:tcBorders/>
          </w:tcPr>
          <w:p>
            <w:pPr>
              <w:pStyle w:val="Heading2"/>
              <w:ind w:hanging="0" w:start="-108" w:end="-108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4:30</w:t>
            </w:r>
          </w:p>
        </w:tc>
        <w:tc>
          <w:tcPr>
            <w:tcW w:w="7110" w:type="dxa"/>
            <w:tcBorders/>
          </w:tcPr>
          <w:p>
            <w:pPr>
              <w:pStyle w:val="Heading2"/>
              <w:ind w:hanging="0" w:star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Adjournment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spacing w:before="12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152" w:footer="0" w:bottom="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4d" w:characterSet="macintosh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4d" w:characterSet="macintosh"/>
    <w:family w:val="swiss"/>
    <w:pitch w:val="variable"/>
  </w:font>
  <w:font w:name="Times New Roman">
    <w:charset w:val="4d" w:characterSet="macintosh"/>
    <w:family w:val="roman"/>
    <w:pitch w:val="variable"/>
  </w:font>
  <w:font w:name="Monotype Sorts">
    <w:altName w:val="Symbol"/>
    <w:charset w:val="02"/>
    <w:family w:val="auto"/>
    <w:pitch w:val="variable"/>
  </w:font>
  <w:font w:name="Monotype Sorts">
    <w:altName w:val="Symbol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o"/>
      <w:lvlJc w:val="start"/>
      <w:pPr>
        <w:tabs>
          <w:tab w:val="num" w:pos="612"/>
        </w:tabs>
        <w:ind w:start="612" w:hanging="612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2000-04-21T16:41:00Z</dcterms:created>
  <dc:creator>John Nimmons</dc:creator>
  <dc:description/>
  <dc:language>en-CA</dc:language>
  <cp:lastModifiedBy>John Nimmons</cp:lastModifiedBy>
  <cp:lastPrinted>2000-03-16T18:06:00Z</cp:lastPrinted>
  <dcterms:modified xsi:type="dcterms:W3CDTF">2000-04-21T16:41:00Z</dcterms:modified>
  <cp:revision>1</cp:revision>
  <dc:subject/>
  <dc:title>Individual</dc:title>
</cp:coreProperties>
</file>