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32"/>
        </w:rPr>
      </w:pPr>
      <w:r>
        <w:rPr>
          <w:b/>
          <w:sz w:val="32"/>
        </w:rPr>
        <w:t>Proposed Term Sheet</w:t>
      </w:r>
    </w:p>
    <w:p>
      <w:pPr>
        <w:pStyle w:val="Normal"/>
        <w:rPr>
          <w:b/>
          <w:sz w:val="32"/>
        </w:rPr>
      </w:pPr>
      <w:r>
        <w:rPr>
          <w:b/>
          <w:sz w:val="32"/>
        </w:rPr>
        <w:t>East - East Capacity</w:t>
      </w:r>
    </w:p>
    <w:p>
      <w:pPr>
        <w:pStyle w:val="Normal"/>
        <w:rPr>
          <w:b/>
          <w:sz w:val="28"/>
          <w:lang w:val="en-CA"/>
        </w:rPr>
      </w:pPr>
      <w:r>
        <w:rPr>
          <w:b/>
          <w:sz w:val="28"/>
          <w:lang w:val="en-CA"/>
        </w:rPr>
        <mc:AlternateContent>
          <mc:Choice Requires="wps">
            <w:drawing>
              <wp:anchor behindDoc="0" distT="0" distB="0" distL="114935" distR="114935" simplePos="0" locked="0" layoutInCell="1" allowOverlap="1" relativeHeight="2">
                <wp:simplePos x="0" y="0"/>
                <wp:positionH relativeFrom="column">
                  <wp:posOffset>45720</wp:posOffset>
                </wp:positionH>
                <wp:positionV relativeFrom="paragraph">
                  <wp:posOffset>81280</wp:posOffset>
                </wp:positionV>
                <wp:extent cx="5394960" cy="0"/>
                <wp:effectExtent l="0" t="5080" r="0" b="5080"/>
                <wp:wrapNone/>
                <wp:docPr id="1" name=""/>
                <a:graphic xmlns:a="http://schemas.openxmlformats.org/drawingml/2006/main">
                  <a:graphicData uri="http://schemas.microsoft.com/office/word/2010/wordprocessingShape">
                    <wps:wsp>
                      <wps:cNvSpPr/>
                      <wps:spPr>
                        <a:xfrm>
                          <a:off x="0" y="0"/>
                          <a:ext cx="5394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6.4pt" to="428.35pt,6.4pt" stroked="t" o:allowincell="f" style="position:absolute">
                <v:stroke color="black" weight="9360" joinstyle="miter" endcap="flat"/>
                <v:fill o:detectmouseclick="t" on="false"/>
                <w10:wrap type="none"/>
              </v:line>
            </w:pict>
          </mc:Fallback>
        </mc:AlternateContent>
      </w:r>
    </w:p>
    <w:p>
      <w:pPr>
        <w:pStyle w:val="Normal"/>
        <w:rPr>
          <w:b/>
          <w:sz w:val="28"/>
        </w:rPr>
      </w:pPr>
      <w:r>
        <w:rPr>
          <w:b/>
          <w:sz w:val="28"/>
        </w:rPr>
      </w:r>
    </w:p>
    <w:p>
      <w:pPr>
        <w:pStyle w:val="Normal"/>
        <w:ind w:hanging="1440" w:start="1440" w:end="0"/>
        <w:rPr/>
      </w:pPr>
      <w:r>
        <w:rPr>
          <w:b/>
        </w:rPr>
        <w:t>Bid Period:</w:t>
      </w:r>
      <w:r>
        <w:rPr/>
        <w:tab/>
        <w:t xml:space="preserve">Written bids will be accepted through noon, Friday, February 2, 2001.  Transwestern is asking Shippers to bid on both </w:t>
      </w:r>
      <w:r>
        <w:rPr>
          <w:b/>
        </w:rPr>
        <w:t>Alternate #1</w:t>
      </w:r>
      <w:r>
        <w:rPr/>
        <w:t xml:space="preserve"> and </w:t>
      </w:r>
      <w:r>
        <w:rPr>
          <w:b/>
        </w:rPr>
        <w:t>Alternate #2</w:t>
      </w:r>
      <w:r>
        <w:rPr/>
        <w:t>.</w:t>
      </w:r>
    </w:p>
    <w:p>
      <w:pPr>
        <w:pStyle w:val="Normal"/>
        <w:rPr/>
      </w:pPr>
      <w:r>
        <w:rPr/>
      </w:r>
    </w:p>
    <w:p>
      <w:pPr>
        <w:pStyle w:val="Normal"/>
        <w:rPr>
          <w:b/>
        </w:rPr>
      </w:pPr>
      <w:r>
        <w:rPr>
          <w:b/>
        </w:rPr>
        <w:t>Evaluation</w:t>
      </w:r>
    </w:p>
    <w:p>
      <w:pPr>
        <w:pStyle w:val="Normal"/>
        <w:ind w:hanging="1440" w:start="1440" w:end="0"/>
        <w:rPr/>
      </w:pPr>
      <w:r>
        <w:rPr>
          <w:b/>
        </w:rPr>
        <w:t>Criteria:</w:t>
      </w:r>
      <w:r>
        <w:rPr/>
        <w:tab/>
        <w:t xml:space="preserve">Highest NPV bid on Reservation Charge on </w:t>
      </w:r>
      <w:r>
        <w:rPr>
          <w:b/>
        </w:rPr>
        <w:t>Alternate #1</w:t>
      </w:r>
      <w:r>
        <w:rPr/>
        <w:t xml:space="preserve"> or </w:t>
      </w:r>
      <w:r>
        <w:rPr>
          <w:b/>
        </w:rPr>
        <w:t>Alternate #2</w:t>
      </w:r>
    </w:p>
    <w:p>
      <w:pPr>
        <w:pStyle w:val="Normal"/>
        <w:rPr/>
      </w:pPr>
      <w:r>
        <w:rPr/>
      </w:r>
    </w:p>
    <w:p>
      <w:pPr>
        <w:pStyle w:val="Normal"/>
        <w:ind w:hanging="1440" w:start="1440" w:end="0"/>
        <w:rPr/>
      </w:pPr>
      <w:r>
        <w:rPr>
          <w:b/>
        </w:rPr>
        <w:t>Volume:</w:t>
      </w:r>
      <w:r>
        <w:rPr/>
        <w:tab/>
        <w:t xml:space="preserve">400,000 MMBtu/d </w:t>
      </w:r>
    </w:p>
    <w:p>
      <w:pPr>
        <w:pStyle w:val="Normal"/>
        <w:rPr/>
      </w:pPr>
      <w:r>
        <w:rPr/>
      </w:r>
    </w:p>
    <w:p>
      <w:pPr>
        <w:pStyle w:val="Normal"/>
        <w:rPr/>
      </w:pPr>
      <w:r>
        <w:rPr>
          <w:b/>
        </w:rPr>
        <w:t>Term:</w:t>
        <w:tab/>
      </w:r>
      <w:r>
        <w:rPr/>
        <w:tab/>
        <w:t>17 mos.  (Nov. 1, 2001 - Mar. 31, 2003)</w:t>
      </w:r>
    </w:p>
    <w:p>
      <w:pPr>
        <w:pStyle w:val="Normal"/>
        <w:rPr/>
      </w:pPr>
      <w:r>
        <w:rPr/>
      </w:r>
    </w:p>
    <w:p>
      <w:pPr>
        <w:pStyle w:val="Normal"/>
        <w:rPr/>
      </w:pPr>
      <w:r>
        <w:rPr>
          <w:b/>
        </w:rPr>
        <w:t>Rate:</w:t>
      </w:r>
      <w:r>
        <w:rPr/>
        <w:tab/>
        <w:tab/>
      </w:r>
      <w:r>
        <w:rPr>
          <w:b/>
        </w:rPr>
        <w:t xml:space="preserve">Alt. #1-  Reservation Charge $_____ / MMBtu </w:t>
      </w:r>
    </w:p>
    <w:p>
      <w:pPr>
        <w:pStyle w:val="Normal"/>
        <w:ind w:firstLine="720" w:start="720" w:end="0"/>
        <w:rPr>
          <w:b/>
        </w:rPr>
      </w:pPr>
      <w:r>
        <w:rPr>
          <w:b/>
        </w:rPr>
        <w:t>Alt. #2-  Reservation Charge $_____ / MMBtu</w:t>
      </w:r>
    </w:p>
    <w:p>
      <w:pPr>
        <w:pStyle w:val="Normal"/>
        <w:rPr/>
      </w:pPr>
      <w:r>
        <w:rPr/>
        <w:tab/>
        <w:tab/>
      </w:r>
    </w:p>
    <w:p>
      <w:pPr>
        <w:pStyle w:val="Normal"/>
        <w:rPr/>
      </w:pPr>
      <w:r>
        <w:rPr/>
        <w:tab/>
        <w:tab/>
        <w:t>Plus Commodity Charge as follows:</w:t>
      </w:r>
    </w:p>
    <w:p>
      <w:pPr>
        <w:pStyle w:val="Normal"/>
        <w:rPr/>
      </w:pPr>
      <w:r>
        <w:rPr/>
        <w:tab/>
        <w:tab/>
      </w:r>
    </w:p>
    <w:p>
      <w:pPr>
        <w:pStyle w:val="Normal"/>
        <w:rPr/>
      </w:pPr>
      <w:r>
        <w:rPr/>
        <w:tab/>
        <w:tab/>
      </w:r>
      <w:r>
        <w:rPr>
          <w:u w:val="single"/>
        </w:rPr>
        <w:t>East - East (primary, alternate deliveries)</w:t>
      </w:r>
    </w:p>
    <w:p>
      <w:pPr>
        <w:pStyle w:val="Normal"/>
        <w:ind w:start="1440" w:end="0"/>
        <w:rPr/>
      </w:pPr>
      <w:r>
        <w:rPr>
          <w:b/>
        </w:rPr>
        <w:t>Commodity</w:t>
      </w:r>
      <w:r>
        <w:rPr/>
        <w:t xml:space="preserve"> = maximum tariff commodity rate plus applicable ACA surcharge (currently totals $0.093/MMBtu)</w:t>
      </w:r>
    </w:p>
    <w:p>
      <w:pPr>
        <w:pStyle w:val="Normal"/>
        <w:rPr/>
      </w:pPr>
      <w:r>
        <w:rPr/>
        <w:tab/>
        <w:tab/>
      </w:r>
      <w:r>
        <w:rPr>
          <w:b/>
        </w:rPr>
        <w:t>Plus applicable mainline fuel (1.31%)</w:t>
      </w:r>
    </w:p>
    <w:p>
      <w:pPr>
        <w:pStyle w:val="Normal"/>
        <w:rPr>
          <w:b/>
        </w:rPr>
      </w:pPr>
      <w:r>
        <w:rPr>
          <w:b/>
        </w:rPr>
      </w:r>
    </w:p>
    <w:p>
      <w:pPr>
        <w:pStyle w:val="Normal"/>
        <w:rPr/>
      </w:pPr>
      <w:r>
        <w:rPr/>
        <w:tab/>
        <w:tab/>
      </w:r>
      <w:r>
        <w:rPr>
          <w:u w:val="single"/>
        </w:rPr>
        <w:t>East - West (alternate deliveries)</w:t>
      </w:r>
    </w:p>
    <w:p>
      <w:pPr>
        <w:pStyle w:val="Normal"/>
        <w:rPr/>
      </w:pPr>
      <w:r>
        <w:rPr/>
        <w:tab/>
        <w:tab/>
        <w:t>All West of Thoreau deliveries except PG&amp;E Topock (POI #56698):</w:t>
      </w:r>
    </w:p>
    <w:p>
      <w:pPr>
        <w:pStyle w:val="Normal"/>
        <w:ind w:start="1440" w:end="0"/>
        <w:rPr/>
      </w:pPr>
      <w:r>
        <w:rPr>
          <w:b/>
        </w:rPr>
        <w:t>Commodity</w:t>
      </w:r>
      <w:r>
        <w:rPr/>
        <w:t xml:space="preserve"> = (The commodity price for natural gas as reported in </w:t>
      </w:r>
      <w:r>
        <w:rPr>
          <w:u w:val="single"/>
        </w:rPr>
        <w:t>Gas Daily</w:t>
      </w:r>
      <w:r>
        <w:rPr/>
        <w:t xml:space="preserve">, Daily Price Survey, Others, SoCal gas, large pkgs., minus the commodity price reported in </w:t>
      </w:r>
      <w:r>
        <w:rPr>
          <w:u w:val="single"/>
        </w:rPr>
        <w:t>Gas Daily</w:t>
      </w:r>
      <w:r>
        <w:rPr/>
        <w:t xml:space="preserve">, Daily Price Survey, Permian Basin Area, Transwestern, minus Reservation Charge minus applicable mainline fuel, valued at Gas Daily TW Permian price) multiplied by </w:t>
      </w:r>
      <w:r>
        <w:rPr>
          <w:b/>
        </w:rPr>
        <w:t xml:space="preserve">ALTERNATE #1 (0.30) </w:t>
      </w:r>
      <w:r>
        <w:rPr/>
        <w:t xml:space="preserve">OR </w:t>
      </w:r>
      <w:r>
        <w:rPr>
          <w:b/>
        </w:rPr>
        <w:t>ALTERNATE #2 (0.50)</w:t>
      </w:r>
      <w:r>
        <w:rPr/>
        <w:t>.  Commodity includes all applicable surcharges.  In no event shall the resultant Commodity rate be less than the minimum tariff Commodity rate of $0.0246/MMBtu.</w:t>
      </w:r>
    </w:p>
    <w:p>
      <w:pPr>
        <w:pStyle w:val="Normal"/>
        <w:ind w:start="1440" w:end="0"/>
        <w:rPr>
          <w:b/>
        </w:rPr>
      </w:pPr>
      <w:r>
        <w:rPr>
          <w:b/>
        </w:rPr>
        <w:t>Plus applicable mainline fuel (5%)</w:t>
      </w:r>
    </w:p>
    <w:p>
      <w:pPr>
        <w:pStyle w:val="Normal"/>
        <w:ind w:start="1440" w:end="0"/>
        <w:rPr>
          <w:b/>
        </w:rPr>
      </w:pPr>
      <w:r>
        <w:rPr>
          <w:b/>
        </w:rPr>
      </w:r>
    </w:p>
    <w:p>
      <w:pPr>
        <w:pStyle w:val="Normal"/>
        <w:ind w:start="1440" w:end="0"/>
        <w:rPr/>
      </w:pPr>
      <w:r>
        <w:rPr/>
        <w:t>All West of Thoreau deliveries to PG&amp;E Topock (POI #56698):</w:t>
      </w:r>
    </w:p>
    <w:p>
      <w:pPr>
        <w:pStyle w:val="Normal"/>
        <w:ind w:start="1440" w:end="0"/>
        <w:rPr/>
      </w:pPr>
      <w:r>
        <w:rPr>
          <w:b/>
        </w:rPr>
        <w:t>Commodity</w:t>
      </w:r>
      <w:r>
        <w:rPr/>
        <w:t xml:space="preserve"> = (The commodity price for natural gas as reported in </w:t>
      </w:r>
      <w:r>
        <w:rPr>
          <w:u w:val="single"/>
        </w:rPr>
        <w:t>Gas Daily</w:t>
      </w:r>
      <w:r>
        <w:rPr/>
        <w:t xml:space="preserve">, Daily Price Survey, Others, PG&amp;E, large pkgs., minus the commodity price reported in </w:t>
      </w:r>
      <w:r>
        <w:rPr>
          <w:u w:val="single"/>
        </w:rPr>
        <w:t>Gas Daily</w:t>
      </w:r>
      <w:r>
        <w:rPr/>
        <w:t xml:space="preserve">, Daily Price Survey, Permian Basin Area, Transwestern, minus Reservation Charge minus applicable mainline fuel, valued at Gas Daily TW Permian price) multiplied by </w:t>
      </w:r>
      <w:r>
        <w:rPr>
          <w:b/>
        </w:rPr>
        <w:t xml:space="preserve">ALTERNATE #1 (0.30) </w:t>
      </w:r>
      <w:r>
        <w:rPr/>
        <w:t xml:space="preserve">OR </w:t>
      </w:r>
      <w:r>
        <w:rPr>
          <w:b/>
        </w:rPr>
        <w:t>ALTERNATE #2 (0.50)</w:t>
      </w:r>
      <w:r>
        <w:rPr/>
        <w:t>.  Commodity includes all applicable surcharges.  In no event shall the resultant Commodity rate be less than the minimum tariff Commodity rate of $0.0246/MMBtu.</w:t>
      </w:r>
    </w:p>
    <w:p>
      <w:pPr>
        <w:pStyle w:val="Normal"/>
        <w:ind w:start="1440" w:end="0"/>
        <w:rPr>
          <w:b/>
        </w:rPr>
      </w:pPr>
      <w:r>
        <w:rPr>
          <w:b/>
        </w:rPr>
        <w:t>Plus applicable mainline fuel (5%)</w:t>
      </w:r>
    </w:p>
    <w:p>
      <w:pPr>
        <w:pStyle w:val="Normal"/>
        <w:rPr>
          <w:b/>
        </w:rPr>
      </w:pPr>
      <w:r>
        <w:rPr>
          <w:b/>
        </w:rPr>
      </w:r>
    </w:p>
    <w:p>
      <w:pPr>
        <w:pStyle w:val="Normal"/>
        <w:rPr>
          <w:b/>
        </w:rPr>
      </w:pPr>
      <w:r>
        <w:rPr>
          <w:b/>
        </w:rPr>
        <w:t xml:space="preserve">Primary </w:t>
      </w:r>
    </w:p>
    <w:p>
      <w:pPr>
        <w:pStyle w:val="Normal"/>
        <w:rPr/>
      </w:pPr>
      <w:r>
        <w:rPr>
          <w:b/>
        </w:rPr>
        <w:t>Receipts:</w:t>
      </w:r>
      <w:r>
        <w:rPr/>
        <w:tab/>
        <w:t>All available East of Thoreau</w:t>
      </w:r>
    </w:p>
    <w:p>
      <w:pPr>
        <w:pStyle w:val="Normal"/>
        <w:rPr/>
      </w:pPr>
      <w:r>
        <w:rPr/>
        <w:tab/>
        <w:tab/>
        <w:t>PNM Rio Puerco (POI#60921)</w:t>
      </w:r>
    </w:p>
    <w:p>
      <w:pPr>
        <w:pStyle w:val="Normal"/>
        <w:rPr/>
      </w:pPr>
      <w:r>
        <w:rPr/>
        <w:tab/>
        <w:tab/>
        <w:t>El Paso Window Rock (POI#500179)</w:t>
      </w:r>
    </w:p>
    <w:p>
      <w:pPr>
        <w:pStyle w:val="Normal"/>
        <w:rPr/>
      </w:pPr>
      <w:r>
        <w:rPr/>
      </w:r>
    </w:p>
    <w:p>
      <w:pPr>
        <w:pStyle w:val="Normal"/>
        <w:rPr>
          <w:b/>
        </w:rPr>
      </w:pPr>
      <w:r>
        <w:rPr>
          <w:b/>
        </w:rPr>
        <w:t>Primary</w:t>
      </w:r>
    </w:p>
    <w:p>
      <w:pPr>
        <w:pStyle w:val="Normal"/>
        <w:rPr/>
      </w:pPr>
      <w:r>
        <w:rPr>
          <w:b/>
        </w:rPr>
        <w:t>Delivery:</w:t>
      </w:r>
      <w:r>
        <w:rPr/>
        <w:tab/>
        <w:t>All available East of Thoreau</w:t>
      </w:r>
    </w:p>
    <w:p>
      <w:pPr>
        <w:pStyle w:val="Normal"/>
        <w:rPr>
          <w:b/>
        </w:rPr>
      </w:pPr>
      <w:r>
        <w:rPr>
          <w:b/>
        </w:rPr>
      </w:r>
    </w:p>
    <w:p>
      <w:pPr>
        <w:pStyle w:val="Normal"/>
        <w:rPr>
          <w:b/>
        </w:rPr>
      </w:pPr>
      <w:r>
        <w:rPr>
          <w:b/>
        </w:rPr>
        <w:t>Alternate</w:t>
      </w:r>
    </w:p>
    <w:p>
      <w:pPr>
        <w:pStyle w:val="Normal"/>
        <w:rPr/>
      </w:pPr>
      <w:r>
        <w:rPr>
          <w:b/>
        </w:rPr>
        <w:t>Receipts:</w:t>
        <w:tab/>
      </w:r>
      <w:r>
        <w:rPr/>
        <w:t>All alternate receipts East of Thoreau</w:t>
      </w:r>
    </w:p>
    <w:p>
      <w:pPr>
        <w:pStyle w:val="Normal"/>
        <w:rPr/>
      </w:pPr>
      <w:r>
        <w:rPr/>
        <w:tab/>
        <w:tab/>
        <w:t>Alternate receipts at Thoreau (POI#56709)</w:t>
      </w:r>
    </w:p>
    <w:p>
      <w:pPr>
        <w:pStyle w:val="Normal"/>
        <w:rPr/>
      </w:pPr>
      <w:r>
        <w:rPr/>
      </w:r>
    </w:p>
    <w:p>
      <w:pPr>
        <w:pStyle w:val="Normal"/>
        <w:rPr>
          <w:b/>
        </w:rPr>
      </w:pPr>
      <w:r>
        <w:rPr>
          <w:b/>
        </w:rPr>
        <w:t>Alternate</w:t>
      </w:r>
    </w:p>
    <w:p>
      <w:pPr>
        <w:pStyle w:val="Normal"/>
        <w:rPr/>
      </w:pPr>
      <w:r>
        <w:rPr>
          <w:b/>
        </w:rPr>
        <w:t>Deliveries:</w:t>
      </w:r>
      <w:r>
        <w:rPr/>
        <w:tab/>
        <w:t>All alternate deliveries East of Thoreau</w:t>
      </w:r>
    </w:p>
    <w:p>
      <w:pPr>
        <w:pStyle w:val="Normal"/>
        <w:rPr/>
      </w:pPr>
      <w:r>
        <w:rPr/>
        <w:tab/>
        <w:tab/>
        <w:t>Alternate deliveries at Thoreau (POI#56709)</w:t>
      </w:r>
    </w:p>
    <w:p>
      <w:pPr>
        <w:pStyle w:val="Normal"/>
        <w:rPr/>
      </w:pPr>
      <w:r>
        <w:rPr/>
        <w:tab/>
        <w:tab/>
        <w:t>Alternate deliveries at El Paso Window Rock (POI#500179)</w:t>
      </w:r>
    </w:p>
    <w:p>
      <w:pPr>
        <w:pStyle w:val="Normal"/>
        <w:rPr/>
      </w:pPr>
      <w:r>
        <w:rPr/>
        <w:tab/>
        <w:tab/>
        <w:t>California border points, including:</w:t>
      </w:r>
    </w:p>
    <w:p>
      <w:pPr>
        <w:pStyle w:val="Normal"/>
        <w:ind w:firstLine="720" w:start="1440" w:end="0"/>
        <w:rPr/>
      </w:pPr>
      <w:r>
        <w:rPr/>
        <w:t>California Pool (POI#57276)</w:t>
      </w:r>
    </w:p>
    <w:p>
      <w:pPr>
        <w:pStyle w:val="Normal"/>
        <w:ind w:firstLine="720" w:start="1440" w:end="0"/>
        <w:rPr/>
      </w:pPr>
      <w:r>
        <w:rPr/>
        <w:t>SoCal Needles (POI#10487)</w:t>
      </w:r>
    </w:p>
    <w:p>
      <w:pPr>
        <w:pStyle w:val="Normal"/>
        <w:ind w:firstLine="720" w:start="1440" w:end="0"/>
        <w:rPr/>
      </w:pPr>
      <w:r>
        <w:rPr/>
        <w:t>PG&amp;E Topock (POI#56698)</w:t>
      </w:r>
    </w:p>
    <w:p>
      <w:pPr>
        <w:pStyle w:val="Normal"/>
        <w:ind w:firstLine="720" w:start="1440" w:end="0"/>
        <w:rPr/>
      </w:pPr>
      <w:r>
        <w:rPr/>
        <w:t>Mojave Topock (POI#56696)</w:t>
      </w:r>
    </w:p>
    <w:p>
      <w:pPr>
        <w:pStyle w:val="Normal"/>
        <w:ind w:firstLine="720" w:start="1440" w:end="0"/>
        <w:rPr/>
      </w:pPr>
      <w:r>
        <w:rPr/>
        <w:t>Southwest Gas Transmission (POI#78003)</w:t>
      </w:r>
    </w:p>
    <w:p>
      <w:pPr>
        <w:pStyle w:val="Normal"/>
        <w:ind w:firstLine="720" w:start="1440" w:end="0"/>
        <w:rPr/>
      </w:pPr>
      <w:r>
        <w:rPr/>
        <w:t>Calpine South Point (POI#78113)</w:t>
      </w:r>
    </w:p>
    <w:p>
      <w:pPr>
        <w:pStyle w:val="Normal"/>
        <w:ind w:firstLine="720" w:start="1440" w:end="0"/>
        <w:rPr/>
      </w:pPr>
      <w:r>
        <w:rPr/>
        <w:t>Citizens Griffith Power Plant (POI#78069)</w:t>
      </w:r>
    </w:p>
    <w:p>
      <w:pPr>
        <w:pStyle w:val="Normal"/>
        <w:rPr/>
      </w:pPr>
      <w:r>
        <w:rPr/>
      </w:r>
    </w:p>
    <w:p>
      <w:pPr>
        <w:pStyle w:val="Normal"/>
        <w:rPr/>
      </w:pPr>
      <w:r>
        <w:rPr>
          <w:b/>
        </w:rPr>
        <w:t>Waiver:</w:t>
        <w:tab/>
      </w:r>
      <w:r>
        <w:rPr/>
        <w:tab/>
        <w:t>Shipper waives its "Right of First Refusal" under the transportation contract</w:t>
      </w:r>
    </w:p>
    <w:p>
      <w:pPr>
        <w:pStyle w:val="Normal"/>
        <w:rPr/>
      </w:pPr>
      <w:r>
        <w:rPr/>
      </w:r>
    </w:p>
    <w:p>
      <w:pPr>
        <w:pStyle w:val="Normal"/>
        <w:rPr>
          <w:b/>
        </w:rPr>
      </w:pPr>
      <w:r>
        <w:rPr>
          <w:b/>
        </w:rPr>
        <w:t xml:space="preserve">Deal </w:t>
      </w:r>
    </w:p>
    <w:p>
      <w:pPr>
        <w:pStyle w:val="Normal"/>
        <w:ind w:hanging="1440" w:start="1440" w:end="0"/>
        <w:rPr/>
      </w:pPr>
      <w:r>
        <w:rPr>
          <w:b/>
        </w:rPr>
        <w:t>Documents</w:t>
      </w:r>
      <w:r>
        <w:rPr/>
        <w:t>:</w:t>
        <w:tab/>
        <w:t xml:space="preserve">A fully-completed </w:t>
      </w:r>
      <w:r>
        <w:rPr>
          <w:u w:val="single"/>
        </w:rPr>
        <w:t>TW- Request for Gas Transportation Service</w:t>
      </w:r>
      <w:r>
        <w:rPr/>
        <w:t xml:space="preserve"> form must accompany any bid for the subject capacity.</w:t>
      </w:r>
    </w:p>
    <w:p>
      <w:pPr>
        <w:pStyle w:val="Normal"/>
        <w:ind w:hanging="1440" w:start="1440" w:end="0"/>
        <w:rPr>
          <w:b/>
        </w:rPr>
      </w:pPr>
      <w:r>
        <w:rPr>
          <w:b/>
        </w:rPr>
      </w:r>
    </w:p>
    <w:p>
      <w:pPr>
        <w:pStyle w:val="Normal"/>
        <w:tabs>
          <w:tab w:val="clear" w:pos="720"/>
          <w:tab w:val="left" w:pos="1440" w:leader="none"/>
        </w:tabs>
        <w:ind w:hanging="1440" w:start="1440" w:end="0"/>
        <w:rPr/>
      </w:pPr>
      <w:r>
        <w:rPr>
          <w:b/>
        </w:rPr>
        <w:t>Conditions:</w:t>
      </w:r>
      <w:r>
        <w:rPr/>
        <w:tab/>
        <w:t>All bids will be subject to the creditworthiness standards of Transwestern's tariff and the approval and execution by Transwestern's management of a Transportation Service Agreement.  Transwestern reserves the right to reject any offer that is less than the maximum Tariff reservation rate for the subject capacity.  As required by regulations, the transportation agreement or a summary thereof will be filed with the FERC as a negotiated rate transaction.  Should the Commission reject all or part of the deal for any reason, the agreement shall be void.</w:t>
      </w:r>
    </w:p>
    <w:p>
      <w:pPr>
        <w:pStyle w:val="Normal"/>
        <w:ind w:hanging="1440" w:start="1440" w:end="0"/>
        <w:rPr/>
      </w:pPr>
      <w:r>
        <w:rPr/>
      </w:r>
    </w:p>
    <w:p>
      <w:pPr>
        <w:pStyle w:val="Normal"/>
        <w:ind w:firstLine="720" w:start="1440" w:end="0"/>
        <w:rPr/>
      </w:pPr>
      <w:r>
        <w:rPr/>
      </w:r>
    </w:p>
    <w:p>
      <w:pPr>
        <w:pStyle w:val="Normal"/>
        <w:ind w:firstLine="720" w:start="1440" w:end="0"/>
        <w:rPr/>
      </w:pPr>
      <w:r>
        <w:rPr/>
      </w:r>
    </w:p>
    <w:p>
      <w:pPr>
        <w:pStyle w:val="Normal"/>
        <w:rPr>
          <w:b/>
          <w:sz w:val="28"/>
        </w:rPr>
      </w:pPr>
      <w:r>
        <w:rPr>
          <w:b/>
          <w:sz w:val="28"/>
        </w:rPr>
        <w:t>Example Commodity Calculation-</w:t>
      </w:r>
    </w:p>
    <w:p>
      <w:pPr>
        <w:pStyle w:val="Normal"/>
        <w:rPr>
          <w:b/>
          <w:sz w:val="28"/>
        </w:rPr>
      </w:pPr>
      <w:r>
        <w:rPr>
          <w:b/>
          <w:sz w:val="28"/>
        </w:rPr>
        <w:t>East - West flow to SoCal Needles</w:t>
      </w:r>
    </w:p>
    <w:p>
      <w:pPr>
        <w:pStyle w:val="Normal"/>
        <w:rPr>
          <w:b/>
          <w:sz w:val="28"/>
          <w:lang w:val="en-CA"/>
        </w:rPr>
      </w:pPr>
      <w:r>
        <w:rPr>
          <w:b/>
          <w:sz w:val="28"/>
          <w:lang w:val="en-CA"/>
        </w:rPr>
        <mc:AlternateContent>
          <mc:Choice Requires="wps">
            <w:drawing>
              <wp:anchor behindDoc="0" distT="0" distB="0" distL="114935" distR="114935" simplePos="0" locked="0" layoutInCell="1" allowOverlap="1" relativeHeight="3">
                <wp:simplePos x="0" y="0"/>
                <wp:positionH relativeFrom="column">
                  <wp:posOffset>45720</wp:posOffset>
                </wp:positionH>
                <wp:positionV relativeFrom="paragraph">
                  <wp:posOffset>73025</wp:posOffset>
                </wp:positionV>
                <wp:extent cx="5394960" cy="0"/>
                <wp:effectExtent l="0" t="5080" r="0" b="5080"/>
                <wp:wrapNone/>
                <wp:docPr id="2" name=""/>
                <a:graphic xmlns:a="http://schemas.openxmlformats.org/drawingml/2006/main">
                  <a:graphicData uri="http://schemas.microsoft.com/office/word/2010/wordprocessingShape">
                    <wps:wsp>
                      <wps:cNvSpPr/>
                      <wps:spPr>
                        <a:xfrm>
                          <a:off x="0" y="0"/>
                          <a:ext cx="5394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5.75pt" to="428.35pt,5.75pt" stroked="t" o:allowincell="f" style="position:absolute">
                <v:stroke color="black" weight="9360" joinstyle="miter" endcap="flat"/>
                <v:fill o:detectmouseclick="t" on="false"/>
                <w10:wrap type="none"/>
              </v:line>
            </w:pict>
          </mc:Fallback>
        </mc:AlternateContent>
      </w:r>
    </w:p>
    <w:p>
      <w:pPr>
        <w:pStyle w:val="Normal"/>
        <w:rPr>
          <w:b/>
          <w:sz w:val="24"/>
          <w:u w:val="single"/>
        </w:rPr>
      </w:pPr>
      <w:r>
        <w:rPr>
          <w:b/>
          <w:sz w:val="24"/>
          <w:u w:val="single"/>
        </w:rPr>
        <w:t>Alternate #1        (30% sharing of alternate West flow net margins)</w:t>
      </w:r>
    </w:p>
    <w:p>
      <w:pPr>
        <w:pStyle w:val="Normal"/>
        <w:rPr/>
      </w:pPr>
      <w:r>
        <w:rPr/>
        <w:tab/>
        <w:tab/>
        <w:tab/>
      </w:r>
    </w:p>
    <w:p>
      <w:pPr>
        <w:pStyle w:val="Normal"/>
        <w:rPr/>
      </w:pPr>
      <w:r>
        <w:rPr>
          <w:b/>
        </w:rPr>
        <w:t>Assume:</w:t>
      </w:r>
      <w:r>
        <w:rPr/>
        <w:tab/>
        <w:t>Reservation Charge (per MMBtu)</w:t>
        <w:tab/>
        <w:tab/>
        <w:t>$0.050</w:t>
      </w:r>
    </w:p>
    <w:p>
      <w:pPr>
        <w:pStyle w:val="Normal"/>
        <w:ind w:firstLine="720" w:start="720" w:end="0"/>
        <w:rPr/>
      </w:pPr>
      <w:r>
        <w:rPr>
          <w:u w:val="single"/>
        </w:rPr>
        <w:t>Gas Daily</w:t>
      </w:r>
      <w:r>
        <w:rPr/>
        <w:t>, SoCal large pkgs.</w:t>
        <w:tab/>
        <w:tab/>
        <w:t>$5.735</w:t>
      </w:r>
    </w:p>
    <w:p>
      <w:pPr>
        <w:pStyle w:val="Normal"/>
        <w:rPr/>
      </w:pPr>
      <w:r>
        <w:rPr/>
        <w:tab/>
        <w:tab/>
      </w:r>
      <w:r>
        <w:rPr>
          <w:u w:val="single"/>
        </w:rPr>
        <w:t>Gas Daily</w:t>
      </w:r>
      <w:r>
        <w:rPr/>
        <w:t>, Permian Area, Transwestern</w:t>
        <w:tab/>
        <w:t>$4.360</w:t>
      </w:r>
    </w:p>
    <w:p>
      <w:pPr>
        <w:pStyle w:val="Normal"/>
        <w:rPr/>
      </w:pPr>
      <w:r>
        <w:rPr/>
      </w:r>
    </w:p>
    <w:p>
      <w:pPr>
        <w:pStyle w:val="Normal"/>
        <w:rPr>
          <w:b/>
        </w:rPr>
      </w:pPr>
      <w:r>
        <w:rPr>
          <w:b/>
        </w:rPr>
        <w:t>Commodity charge formula:</w:t>
      </w:r>
    </w:p>
    <w:p>
      <w:pPr>
        <w:pStyle w:val="Normal"/>
        <w:rPr>
          <w:b/>
        </w:rPr>
      </w:pPr>
      <w:r>
        <w:rPr>
          <w:b/>
        </w:rPr>
      </w:r>
    </w:p>
    <w:p>
      <w:pPr>
        <w:pStyle w:val="Normal"/>
        <w:rPr/>
      </w:pPr>
      <w:r>
        <w:rPr/>
        <w:t xml:space="preserve">   </w:t>
      </w:r>
      <w:r>
        <w:rPr>
          <w:u w:val="single"/>
        </w:rPr>
        <w:t>Index</w:t>
      </w:r>
      <w:r>
        <w:rPr/>
        <w:t xml:space="preserve">     </w:t>
      </w:r>
      <w:r>
        <w:rPr>
          <w:u w:val="single"/>
        </w:rPr>
        <w:t>Index</w:t>
      </w:r>
      <w:r>
        <w:rPr/>
        <w:t xml:space="preserve">      </w:t>
      </w:r>
      <w:r>
        <w:rPr>
          <w:u w:val="single"/>
        </w:rPr>
        <w:t xml:space="preserve">Res. </w:t>
      </w:r>
      <w:r>
        <w:rPr/>
        <w:t xml:space="preserve">     </w:t>
      </w:r>
      <w:r>
        <w:rPr>
          <w:u w:val="single"/>
        </w:rPr>
        <w:t xml:space="preserve">        Fuel Value         </w:t>
      </w:r>
      <w:r>
        <w:rPr/>
        <w:t xml:space="preserve">     </w:t>
      </w:r>
      <w:r>
        <w:rPr>
          <w:b/>
          <w:u w:val="single"/>
        </w:rPr>
        <w:t>Share</w:t>
      </w:r>
      <w:r>
        <w:rPr/>
        <w:t xml:space="preserve">    </w:t>
      </w:r>
      <w:r>
        <w:rPr>
          <w:u w:val="single"/>
        </w:rPr>
        <w:t>Commodity Chg.</w:t>
      </w:r>
    </w:p>
    <w:p>
      <w:pPr>
        <w:pStyle w:val="Normal"/>
        <w:rPr/>
      </w:pPr>
      <w:r>
        <w:rPr/>
        <w:t xml:space="preserve">($5.735 - $4.360 -  $0.05 - (($4.360/.95) - $4.360)) * </w:t>
      </w:r>
      <w:r>
        <w:rPr>
          <w:b/>
        </w:rPr>
        <w:t>0.30</w:t>
      </w:r>
      <w:r>
        <w:rPr/>
        <w:t xml:space="preserve"> =       $0.3287</w:t>
      </w:r>
    </w:p>
    <w:p>
      <w:pPr>
        <w:pStyle w:val="Normal"/>
        <w:rPr/>
      </w:pPr>
      <w:r>
        <w:rPr/>
      </w:r>
    </w:p>
    <w:p>
      <w:pPr>
        <w:pStyle w:val="Normal"/>
        <w:rPr/>
      </w:pPr>
      <w:r>
        <w:rPr/>
      </w:r>
    </w:p>
    <w:p>
      <w:pPr>
        <w:pStyle w:val="Normal"/>
        <w:rPr>
          <w:b/>
          <w:sz w:val="24"/>
          <w:u w:val="single"/>
        </w:rPr>
      </w:pPr>
      <w:r>
        <w:rPr>
          <w:b/>
          <w:sz w:val="24"/>
          <w:u w:val="single"/>
        </w:rPr>
        <w:t>Alternate #2        (50% sharing of alternate West flow net margins)</w:t>
      </w:r>
    </w:p>
    <w:p>
      <w:pPr>
        <w:pStyle w:val="Normal"/>
        <w:rPr/>
      </w:pPr>
      <w:r>
        <w:rPr/>
        <w:tab/>
        <w:tab/>
        <w:tab/>
      </w:r>
    </w:p>
    <w:p>
      <w:pPr>
        <w:pStyle w:val="Normal"/>
        <w:rPr/>
      </w:pPr>
      <w:r>
        <w:rPr>
          <w:b/>
        </w:rPr>
        <w:t>Assume:</w:t>
      </w:r>
      <w:r>
        <w:rPr/>
        <w:tab/>
        <w:t>Reservation Charge (per MMBtu)</w:t>
        <w:tab/>
        <w:tab/>
        <w:t>$0.030</w:t>
      </w:r>
    </w:p>
    <w:p>
      <w:pPr>
        <w:pStyle w:val="Normal"/>
        <w:ind w:firstLine="720" w:start="720" w:end="0"/>
        <w:rPr/>
      </w:pPr>
      <w:r>
        <w:rPr>
          <w:u w:val="single"/>
        </w:rPr>
        <w:t>Gas Daily</w:t>
      </w:r>
      <w:r>
        <w:rPr/>
        <w:t>, SoCal large pkgs.</w:t>
        <w:tab/>
        <w:tab/>
        <w:t>$5.735</w:t>
      </w:r>
    </w:p>
    <w:p>
      <w:pPr>
        <w:pStyle w:val="Normal"/>
        <w:rPr/>
      </w:pPr>
      <w:r>
        <w:rPr/>
        <w:tab/>
        <w:tab/>
      </w:r>
      <w:r>
        <w:rPr>
          <w:u w:val="single"/>
        </w:rPr>
        <w:t>Gas Daily</w:t>
      </w:r>
      <w:r>
        <w:rPr/>
        <w:t>, Permian Area, Transwestern</w:t>
        <w:tab/>
        <w:t>$4.360</w:t>
      </w:r>
    </w:p>
    <w:p>
      <w:pPr>
        <w:pStyle w:val="Normal"/>
        <w:rPr/>
      </w:pPr>
      <w:r>
        <w:rPr/>
      </w:r>
    </w:p>
    <w:p>
      <w:pPr>
        <w:pStyle w:val="Normal"/>
        <w:rPr>
          <w:b/>
        </w:rPr>
      </w:pPr>
      <w:r>
        <w:rPr>
          <w:b/>
        </w:rPr>
        <w:t>Commodity charge formula:</w:t>
      </w:r>
    </w:p>
    <w:p>
      <w:pPr>
        <w:pStyle w:val="Normal"/>
        <w:rPr>
          <w:b/>
        </w:rPr>
      </w:pPr>
      <w:r>
        <w:rPr>
          <w:b/>
        </w:rPr>
      </w:r>
    </w:p>
    <w:p>
      <w:pPr>
        <w:pStyle w:val="Normal"/>
        <w:rPr/>
      </w:pPr>
      <w:r>
        <w:rPr/>
        <w:t xml:space="preserve">   </w:t>
      </w:r>
      <w:r>
        <w:rPr>
          <w:u w:val="single"/>
        </w:rPr>
        <w:t>Index</w:t>
      </w:r>
      <w:r>
        <w:rPr/>
        <w:t xml:space="preserve">     </w:t>
      </w:r>
      <w:r>
        <w:rPr>
          <w:u w:val="single"/>
        </w:rPr>
        <w:t>Index</w:t>
      </w:r>
      <w:r>
        <w:rPr/>
        <w:t xml:space="preserve">      </w:t>
      </w:r>
      <w:r>
        <w:rPr>
          <w:u w:val="single"/>
        </w:rPr>
        <w:t xml:space="preserve">Res. </w:t>
      </w:r>
      <w:r>
        <w:rPr/>
        <w:t xml:space="preserve">     </w:t>
      </w:r>
      <w:r>
        <w:rPr>
          <w:u w:val="single"/>
        </w:rPr>
        <w:t xml:space="preserve">        Fuel Value         </w:t>
      </w:r>
      <w:r>
        <w:rPr/>
        <w:t xml:space="preserve">     </w:t>
      </w:r>
      <w:r>
        <w:rPr>
          <w:b/>
          <w:u w:val="single"/>
        </w:rPr>
        <w:t>Share</w:t>
      </w:r>
      <w:r>
        <w:rPr/>
        <w:t xml:space="preserve">    </w:t>
      </w:r>
      <w:r>
        <w:rPr>
          <w:u w:val="single"/>
        </w:rPr>
        <w:t>Commodity Chg.</w:t>
      </w:r>
    </w:p>
    <w:p>
      <w:pPr>
        <w:pStyle w:val="Normal"/>
        <w:rPr/>
      </w:pPr>
      <w:r>
        <w:rPr/>
        <w:t xml:space="preserve">($5.735 - $4.360 -  $0.03 - (($4.360/.95) - $4.360)) * </w:t>
      </w:r>
      <w:r>
        <w:rPr>
          <w:b/>
        </w:rPr>
        <w:t>0.50</w:t>
      </w:r>
      <w:r>
        <w:rPr/>
        <w:t xml:space="preserve"> =       $0.5578</w:t>
      </w:r>
    </w:p>
    <w:sectPr>
      <w:type w:val="nextPage"/>
      <w:pgSz w:w="12240" w:h="15840"/>
      <w:pgMar w:left="1800" w:right="1800" w:gutter="0" w:header="0" w:top="1350" w:footer="0" w:bottom="11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2001-01-31T14:28:00Z</dcterms:created>
  <dc:creator>Enron</dc:creator>
  <dc:description/>
  <dc:language>en-CA</dc:language>
  <cp:lastModifiedBy>Enron</cp:lastModifiedBy>
  <cp:lastPrinted>2001-01-31T10:56:00Z</cp:lastPrinted>
  <dcterms:modified xsi:type="dcterms:W3CDTF">2001-01-31T14:28:00Z</dcterms:modified>
  <cp:revision>2</cp:revision>
  <dc:subject/>
  <dc:title>Proposed Term Sheet</dc:title>
</cp:coreProperties>
</file>